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tbl>
      <w:tblPr>
        <w:tblLayout w:type="fixed"/>
        <w:tblInd w:w="4" w:type="dxa"/>
        <w:tblCellMar>
          <w:top w:w="0" w:type="dxa"/>
          <w:left w:w="0" w:type="dxa"/>
          <w:bottom w:w="0" w:type="dxa"/>
          <w:right w:w="0" w:type="dxa"/>
        </w:tblCellMar>
      </w:tblPr>
      <w:tr>
        <w:trPr>
          <w:trHeight w:val="20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5"/>
          </w:tcPr>
          <w:p>
            <w:pPr>
              <w:jc w:val="center"/>
              <w:ind w:right="480"/>
              <w:spacing w:after="0"/>
              <w:rPr>
                <w:sz w:val="20"/>
                <w:szCs w:val="20"/>
                <w:color w:val="auto"/>
              </w:rPr>
            </w:pPr>
            <w:r>
              <w:rPr>
                <w:rFonts w:ascii="Arial" w:cs="Arial" w:eastAsia="Arial" w:hAnsi="Arial"/>
                <w:sz w:val="16"/>
                <w:szCs w:val="16"/>
                <w:b w:val="1"/>
                <w:bCs w:val="1"/>
                <w:color w:val="auto"/>
              </w:rPr>
              <w:t>FORM 8-K</w:t>
            </w:r>
          </w:p>
        </w:tc>
        <w:tc>
          <w:tcPr>
            <w:tcW w:w="3360" w:type="dxa"/>
            <w:vAlign w:val="bottom"/>
          </w:tcPr>
          <w:p>
            <w:pPr>
              <w:spacing w:after="0"/>
              <w:rPr>
                <w:sz w:val="18"/>
                <w:szCs w:val="18"/>
                <w:color w:val="auto"/>
              </w:rPr>
            </w:pPr>
          </w:p>
        </w:tc>
      </w:tr>
      <w:tr>
        <w:trPr>
          <w:trHeight w:val="36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9"/>
              </w:rPr>
              <w:t>CURRENT REPORT</w:t>
            </w:r>
          </w:p>
        </w:tc>
        <w:tc>
          <w:tcPr>
            <w:tcW w:w="3360" w:type="dxa"/>
            <w:vAlign w:val="bottom"/>
          </w:tcPr>
          <w:p>
            <w:pPr>
              <w:spacing w:after="0"/>
              <w:rPr>
                <w:sz w:val="24"/>
                <w:szCs w:val="24"/>
                <w:color w:val="auto"/>
              </w:rPr>
            </w:pPr>
          </w:p>
        </w:tc>
      </w:tr>
      <w:tr>
        <w:trPr>
          <w:trHeight w:val="191"/>
        </w:trPr>
        <w:tc>
          <w:tcPr>
            <w:tcW w:w="3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7"/>
              </w:rPr>
              <w:t>PURSUANT TO SECTION 13 OR 15(D)</w:t>
            </w:r>
          </w:p>
        </w:tc>
        <w:tc>
          <w:tcPr>
            <w:tcW w:w="3360" w:type="dxa"/>
            <w:vAlign w:val="bottom"/>
          </w:tcPr>
          <w:p>
            <w:pPr>
              <w:spacing w:after="0"/>
              <w:rPr>
                <w:sz w:val="16"/>
                <w:szCs w:val="16"/>
                <w:color w:val="auto"/>
              </w:rPr>
            </w:pPr>
          </w:p>
        </w:tc>
      </w:tr>
      <w:tr>
        <w:trPr>
          <w:trHeight w:val="20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99"/>
              </w:rPr>
              <w:t>OF THE SECURITIES EXCHANGE ACT OF 1934</w:t>
            </w:r>
          </w:p>
        </w:tc>
        <w:tc>
          <w:tcPr>
            <w:tcW w:w="3360" w:type="dxa"/>
            <w:vAlign w:val="bottom"/>
          </w:tcPr>
          <w:p>
            <w:pPr>
              <w:spacing w:after="0"/>
              <w:rPr>
                <w:sz w:val="18"/>
                <w:szCs w:val="18"/>
                <w:color w:val="auto"/>
              </w:rPr>
            </w:pPr>
          </w:p>
        </w:tc>
      </w:tr>
      <w:tr>
        <w:trPr>
          <w:trHeight w:val="382"/>
        </w:trPr>
        <w:tc>
          <w:tcPr>
            <w:tcW w:w="3440" w:type="dxa"/>
            <w:vAlign w:val="bottom"/>
          </w:tcPr>
          <w:p>
            <w:pPr>
              <w:spacing w:after="0"/>
              <w:rPr>
                <w:sz w:val="24"/>
                <w:szCs w:val="24"/>
                <w:color w:val="auto"/>
              </w:rPr>
            </w:pPr>
          </w:p>
        </w:tc>
        <w:tc>
          <w:tcPr>
            <w:tcW w:w="4460" w:type="dxa"/>
            <w:vAlign w:val="bottom"/>
            <w:gridSpan w:val="7"/>
          </w:tcPr>
          <w:p>
            <w:pPr>
              <w:jc w:val="center"/>
              <w:ind w:right="140"/>
              <w:spacing w:after="0"/>
              <w:rPr>
                <w:sz w:val="20"/>
                <w:szCs w:val="20"/>
                <w:color w:val="auto"/>
              </w:rPr>
            </w:pPr>
            <w:r>
              <w:rPr>
                <w:rFonts w:ascii="Arial" w:cs="Arial" w:eastAsia="Arial" w:hAnsi="Arial"/>
                <w:sz w:val="16"/>
                <w:szCs w:val="16"/>
                <w:b w:val="1"/>
                <w:bCs w:val="1"/>
                <w:color w:val="auto"/>
                <w:w w:val="90"/>
              </w:rPr>
              <w:t>Date of Report (Date of earliest event reported): July 1, 2022</w:t>
            </w:r>
          </w:p>
        </w:tc>
        <w:tc>
          <w:tcPr>
            <w:tcW w:w="3360" w:type="dxa"/>
            <w:vAlign w:val="bottom"/>
          </w:tcPr>
          <w:p>
            <w:pPr>
              <w:spacing w:after="0"/>
              <w:rPr>
                <w:sz w:val="24"/>
                <w:szCs w:val="24"/>
                <w:color w:val="auto"/>
              </w:rPr>
            </w:pPr>
          </w:p>
        </w:tc>
      </w:tr>
      <w:tr>
        <w:trPr>
          <w:trHeight w:val="366"/>
        </w:trPr>
        <w:tc>
          <w:tcPr>
            <w:tcW w:w="3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60" w:type="dxa"/>
            <w:vAlign w:val="bottom"/>
            <w:gridSpan w:val="5"/>
          </w:tcPr>
          <w:p>
            <w:pPr>
              <w:jc w:val="center"/>
              <w:ind w:right="500"/>
              <w:spacing w:after="0"/>
              <w:rPr>
                <w:sz w:val="20"/>
                <w:szCs w:val="20"/>
                <w:color w:val="auto"/>
              </w:rPr>
            </w:pPr>
            <w:r>
              <w:rPr>
                <w:rFonts w:ascii="Arial" w:cs="Arial" w:eastAsia="Arial" w:hAnsi="Arial"/>
                <w:sz w:val="16"/>
                <w:szCs w:val="16"/>
                <w:b w:val="1"/>
                <w:bCs w:val="1"/>
                <w:color w:val="auto"/>
                <w:w w:val="89"/>
              </w:rPr>
              <w:t>Waldencast Acquisition Corp.</w:t>
            </w:r>
          </w:p>
        </w:tc>
        <w:tc>
          <w:tcPr>
            <w:tcW w:w="3360" w:type="dxa"/>
            <w:vAlign w:val="bottom"/>
          </w:tcPr>
          <w:p>
            <w:pPr>
              <w:spacing w:after="0"/>
              <w:rPr>
                <w:sz w:val="24"/>
                <w:szCs w:val="24"/>
                <w:color w:val="auto"/>
              </w:rPr>
            </w:pPr>
          </w:p>
        </w:tc>
      </w:tr>
      <w:tr>
        <w:trPr>
          <w:trHeight w:val="20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89"/>
              </w:rPr>
              <w:t>(Exact name of registrant as specified in its charter)</w:t>
            </w:r>
          </w:p>
        </w:tc>
        <w:tc>
          <w:tcPr>
            <w:tcW w:w="3360" w:type="dxa"/>
            <w:vAlign w:val="bottom"/>
          </w:tcPr>
          <w:p>
            <w:pPr>
              <w:spacing w:after="0"/>
              <w:rPr>
                <w:sz w:val="18"/>
                <w:szCs w:val="18"/>
                <w:color w:val="auto"/>
              </w:rPr>
            </w:pPr>
          </w:p>
        </w:tc>
      </w:tr>
      <w:tr>
        <w:trPr>
          <w:trHeight w:val="386"/>
        </w:trPr>
        <w:tc>
          <w:tcPr>
            <w:tcW w:w="3440" w:type="dxa"/>
            <w:vAlign w:val="bottom"/>
          </w:tcPr>
          <w:p>
            <w:pPr>
              <w:jc w:val="center"/>
              <w:ind w:left="80"/>
              <w:spacing w:after="0"/>
              <w:rPr>
                <w:sz w:val="20"/>
                <w:szCs w:val="20"/>
                <w:color w:val="auto"/>
              </w:rPr>
            </w:pPr>
            <w:r>
              <w:rPr>
                <w:rFonts w:ascii="Arial" w:cs="Arial" w:eastAsia="Arial" w:hAnsi="Arial"/>
                <w:sz w:val="16"/>
                <w:szCs w:val="16"/>
                <w:b w:val="1"/>
                <w:bCs w:val="1"/>
                <w:color w:val="auto"/>
                <w:w w:val="91"/>
              </w:rPr>
              <w:t>Cayman Islands</w:t>
            </w:r>
          </w:p>
        </w:tc>
        <w:tc>
          <w:tcPr>
            <w:tcW w:w="4000" w:type="dxa"/>
            <w:vAlign w:val="bottom"/>
            <w:gridSpan w:val="5"/>
          </w:tcPr>
          <w:p>
            <w:pPr>
              <w:jc w:val="right"/>
              <w:ind w:right="1460"/>
              <w:spacing w:after="0"/>
              <w:rPr>
                <w:sz w:val="20"/>
                <w:szCs w:val="20"/>
                <w:color w:val="auto"/>
              </w:rPr>
            </w:pPr>
            <w:r>
              <w:rPr>
                <w:rFonts w:ascii="Arial" w:cs="Arial" w:eastAsia="Arial" w:hAnsi="Arial"/>
                <w:sz w:val="16"/>
                <w:szCs w:val="16"/>
                <w:b w:val="1"/>
                <w:bCs w:val="1"/>
                <w:color w:val="auto"/>
              </w:rPr>
              <w:t>001-40207</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jc w:val="center"/>
              <w:ind w:right="180"/>
              <w:spacing w:after="0"/>
              <w:rPr>
                <w:sz w:val="20"/>
                <w:szCs w:val="20"/>
                <w:color w:val="auto"/>
              </w:rPr>
            </w:pPr>
            <w:r>
              <w:rPr>
                <w:rFonts w:ascii="Arial" w:cs="Arial" w:eastAsia="Arial" w:hAnsi="Arial"/>
                <w:sz w:val="16"/>
                <w:szCs w:val="16"/>
                <w:b w:val="1"/>
                <w:bCs w:val="1"/>
                <w:color w:val="auto"/>
                <w:w w:val="91"/>
              </w:rPr>
              <w:t>98-1575727</w:t>
            </w:r>
          </w:p>
        </w:tc>
      </w:tr>
      <w:tr>
        <w:trPr>
          <w:trHeight w:val="175"/>
        </w:trPr>
        <w:tc>
          <w:tcPr>
            <w:tcW w:w="3440" w:type="dxa"/>
            <w:vAlign w:val="bottom"/>
            <w:tcBorders>
              <w:top w:val="single" w:sz="8" w:color="auto"/>
            </w:tcBorders>
          </w:tcPr>
          <w:p>
            <w:pPr>
              <w:jc w:val="center"/>
              <w:ind w:left="80"/>
              <w:spacing w:after="0" w:line="175" w:lineRule="exact"/>
              <w:rPr>
                <w:sz w:val="20"/>
                <w:szCs w:val="20"/>
                <w:color w:val="auto"/>
              </w:rPr>
            </w:pPr>
            <w:r>
              <w:rPr>
                <w:rFonts w:ascii="Arial" w:cs="Arial" w:eastAsia="Arial" w:hAnsi="Arial"/>
                <w:sz w:val="16"/>
                <w:szCs w:val="16"/>
                <w:b w:val="1"/>
                <w:bCs w:val="1"/>
                <w:color w:val="auto"/>
                <w:w w:val="89"/>
              </w:rPr>
              <w:t>(State or other jurisdiction</w:t>
            </w:r>
          </w:p>
        </w:tc>
        <w:tc>
          <w:tcPr>
            <w:tcW w:w="1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600" w:type="dxa"/>
            <w:vAlign w:val="bottom"/>
            <w:tcBorders>
              <w:top w:val="single" w:sz="8" w:color="auto"/>
            </w:tcBorders>
            <w:gridSpan w:val="3"/>
          </w:tcPr>
          <w:p>
            <w:pPr>
              <w:jc w:val="center"/>
              <w:spacing w:after="0" w:line="175" w:lineRule="exact"/>
              <w:rPr>
                <w:sz w:val="20"/>
                <w:szCs w:val="20"/>
                <w:color w:val="auto"/>
              </w:rPr>
            </w:pPr>
            <w:r>
              <w:rPr>
                <w:rFonts w:ascii="Arial" w:cs="Arial" w:eastAsia="Arial" w:hAnsi="Arial"/>
                <w:sz w:val="16"/>
                <w:szCs w:val="16"/>
                <w:b w:val="1"/>
                <w:bCs w:val="1"/>
                <w:color w:val="auto"/>
                <w:w w:val="90"/>
              </w:rPr>
              <w:t>(Commission File Number)</w:t>
            </w: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360" w:type="dxa"/>
            <w:vAlign w:val="bottom"/>
            <w:tcBorders>
              <w:top w:val="single" w:sz="8" w:color="auto"/>
            </w:tcBorders>
          </w:tcPr>
          <w:p>
            <w:pPr>
              <w:jc w:val="center"/>
              <w:ind w:right="180"/>
              <w:spacing w:after="0" w:line="175" w:lineRule="exact"/>
              <w:rPr>
                <w:sz w:val="20"/>
                <w:szCs w:val="20"/>
                <w:color w:val="auto"/>
              </w:rPr>
            </w:pPr>
            <w:r>
              <w:rPr>
                <w:rFonts w:ascii="Arial" w:cs="Arial" w:eastAsia="Arial" w:hAnsi="Arial"/>
                <w:sz w:val="16"/>
                <w:szCs w:val="16"/>
                <w:b w:val="1"/>
                <w:bCs w:val="1"/>
                <w:color w:val="auto"/>
                <w:w w:val="92"/>
              </w:rPr>
              <w:t>(I.R.S. Employer</w:t>
            </w:r>
          </w:p>
        </w:tc>
      </w:tr>
      <w:tr>
        <w:trPr>
          <w:trHeight w:val="208"/>
        </w:trPr>
        <w:tc>
          <w:tcPr>
            <w:tcW w:w="3440" w:type="dxa"/>
            <w:vAlign w:val="bottom"/>
          </w:tcPr>
          <w:p>
            <w:pPr>
              <w:jc w:val="center"/>
              <w:ind w:left="80"/>
              <w:spacing w:after="0"/>
              <w:rPr>
                <w:sz w:val="20"/>
                <w:szCs w:val="20"/>
                <w:color w:val="auto"/>
              </w:rPr>
            </w:pPr>
            <w:r>
              <w:rPr>
                <w:rFonts w:ascii="Arial" w:cs="Arial" w:eastAsia="Arial" w:hAnsi="Arial"/>
                <w:sz w:val="16"/>
                <w:szCs w:val="16"/>
                <w:b w:val="1"/>
                <w:bCs w:val="1"/>
                <w:color w:val="auto"/>
                <w:w w:val="90"/>
              </w:rPr>
              <w:t>of incorporation)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60" w:type="dxa"/>
            <w:vAlign w:val="bottom"/>
          </w:tcPr>
          <w:p>
            <w:pPr>
              <w:jc w:val="center"/>
              <w:ind w:right="160"/>
              <w:spacing w:after="0"/>
              <w:rPr>
                <w:sz w:val="20"/>
                <w:szCs w:val="20"/>
                <w:color w:val="auto"/>
              </w:rPr>
            </w:pPr>
            <w:r>
              <w:rPr>
                <w:rFonts w:ascii="Arial" w:cs="Arial" w:eastAsia="Arial" w:hAnsi="Arial"/>
                <w:sz w:val="16"/>
                <w:szCs w:val="16"/>
                <w:b w:val="1"/>
                <w:bCs w:val="1"/>
                <w:color w:val="auto"/>
                <w:w w:val="91"/>
              </w:rPr>
              <w:t>Identification No.)</w:t>
            </w:r>
          </w:p>
        </w:tc>
      </w:tr>
      <w:tr>
        <w:trPr>
          <w:trHeight w:val="366"/>
        </w:trPr>
        <w:tc>
          <w:tcPr>
            <w:tcW w:w="7900" w:type="dxa"/>
            <w:vAlign w:val="bottom"/>
            <w:gridSpan w:val="8"/>
          </w:tcPr>
          <w:p>
            <w:pPr>
              <w:jc w:val="center"/>
              <w:ind w:right="2380"/>
              <w:spacing w:after="0"/>
              <w:rPr>
                <w:sz w:val="20"/>
                <w:szCs w:val="20"/>
                <w:color w:val="auto"/>
              </w:rPr>
            </w:pPr>
            <w:r>
              <w:rPr>
                <w:rFonts w:ascii="Arial" w:cs="Arial" w:eastAsia="Arial" w:hAnsi="Arial"/>
                <w:sz w:val="16"/>
                <w:szCs w:val="16"/>
                <w:b w:val="1"/>
                <w:bCs w:val="1"/>
                <w:color w:val="auto"/>
                <w:w w:val="90"/>
              </w:rPr>
              <w:t>10 Bank Street, Suite 560</w:t>
            </w:r>
          </w:p>
        </w:tc>
        <w:tc>
          <w:tcPr>
            <w:tcW w:w="3360" w:type="dxa"/>
            <w:vAlign w:val="bottom"/>
          </w:tcPr>
          <w:p>
            <w:pPr>
              <w:spacing w:after="0"/>
              <w:rPr>
                <w:sz w:val="24"/>
                <w:szCs w:val="24"/>
                <w:color w:val="auto"/>
              </w:rPr>
            </w:pPr>
          </w:p>
        </w:tc>
      </w:tr>
      <w:tr>
        <w:trPr>
          <w:trHeight w:val="212"/>
        </w:trPr>
        <w:tc>
          <w:tcPr>
            <w:tcW w:w="3440" w:type="dxa"/>
            <w:vAlign w:val="bottom"/>
            <w:tcBorders>
              <w:bottom w:val="single" w:sz="8" w:color="auto"/>
            </w:tcBorders>
          </w:tcPr>
          <w:p>
            <w:pPr>
              <w:jc w:val="center"/>
              <w:ind w:left="1980"/>
              <w:spacing w:after="0"/>
              <w:rPr>
                <w:sz w:val="20"/>
                <w:szCs w:val="20"/>
                <w:color w:val="auto"/>
              </w:rPr>
            </w:pPr>
            <w:r>
              <w:rPr>
                <w:rFonts w:ascii="Arial" w:cs="Arial" w:eastAsia="Arial" w:hAnsi="Arial"/>
                <w:sz w:val="16"/>
                <w:szCs w:val="16"/>
                <w:b w:val="1"/>
                <w:bCs w:val="1"/>
                <w:color w:val="auto"/>
                <w:w w:val="93"/>
              </w:rPr>
              <w:t>White Plains, NY</w:t>
            </w: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jc w:val="right"/>
              <w:ind w:right="2480"/>
              <w:spacing w:after="0"/>
              <w:rPr>
                <w:sz w:val="20"/>
                <w:szCs w:val="20"/>
                <w:color w:val="auto"/>
              </w:rPr>
            </w:pPr>
            <w:r>
              <w:rPr>
                <w:rFonts w:ascii="Arial" w:cs="Arial" w:eastAsia="Arial" w:hAnsi="Arial"/>
                <w:sz w:val="16"/>
                <w:szCs w:val="16"/>
                <w:b w:val="1"/>
                <w:bCs w:val="1"/>
                <w:color w:val="auto"/>
              </w:rPr>
              <w:t>10606</w:t>
            </w:r>
          </w:p>
        </w:tc>
      </w:tr>
      <w:tr>
        <w:trPr>
          <w:trHeight w:val="208"/>
        </w:trPr>
        <w:tc>
          <w:tcPr>
            <w:tcW w:w="552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(Address of principal executive offices)</w:t>
            </w:r>
          </w:p>
        </w:tc>
        <w:tc>
          <w:tcPr>
            <w:tcW w:w="220" w:type="dxa"/>
            <w:vAlign w:val="bottom"/>
          </w:tcPr>
          <w:p>
            <w:pPr>
              <w:spacing w:after="0"/>
              <w:rPr>
                <w:sz w:val="18"/>
                <w:szCs w:val="18"/>
                <w:color w:val="auto"/>
              </w:rPr>
            </w:pPr>
          </w:p>
        </w:tc>
        <w:tc>
          <w:tcPr>
            <w:tcW w:w="2160" w:type="dxa"/>
            <w:vAlign w:val="bottom"/>
            <w:gridSpan w:val="3"/>
          </w:tcPr>
          <w:p>
            <w:pPr>
              <w:spacing w:after="0"/>
              <w:rPr>
                <w:sz w:val="18"/>
                <w:szCs w:val="18"/>
                <w:color w:val="auto"/>
              </w:rPr>
            </w:pPr>
          </w:p>
        </w:tc>
        <w:tc>
          <w:tcPr>
            <w:tcW w:w="3360" w:type="dxa"/>
            <w:vAlign w:val="bottom"/>
          </w:tcPr>
          <w:p>
            <w:pPr>
              <w:jc w:val="center"/>
              <w:ind w:right="2100"/>
              <w:spacing w:after="0"/>
              <w:rPr>
                <w:sz w:val="20"/>
                <w:szCs w:val="20"/>
                <w:color w:val="auto"/>
              </w:rPr>
            </w:pPr>
            <w:r>
              <w:rPr>
                <w:rFonts w:ascii="Arial" w:cs="Arial" w:eastAsia="Arial" w:hAnsi="Arial"/>
                <w:sz w:val="16"/>
                <w:szCs w:val="16"/>
                <w:b w:val="1"/>
                <w:bCs w:val="1"/>
                <w:color w:val="auto"/>
                <w:w w:val="93"/>
              </w:rPr>
              <w:t>(Zip Code)</w:t>
            </w:r>
          </w:p>
        </w:tc>
      </w:tr>
      <w:tr>
        <w:trPr>
          <w:trHeight w:val="349"/>
        </w:trPr>
        <w:tc>
          <w:tcPr>
            <w:tcW w:w="3440" w:type="dxa"/>
            <w:vAlign w:val="bottom"/>
          </w:tcPr>
          <w:p>
            <w:pPr>
              <w:spacing w:after="0"/>
              <w:rPr>
                <w:sz w:val="24"/>
                <w:szCs w:val="24"/>
                <w:color w:val="auto"/>
              </w:rPr>
            </w:pPr>
          </w:p>
        </w:tc>
        <w:tc>
          <w:tcPr>
            <w:tcW w:w="4000" w:type="dxa"/>
            <w:vAlign w:val="bottom"/>
            <w:gridSpan w:val="5"/>
          </w:tcPr>
          <w:p>
            <w:pPr>
              <w:jc w:val="center"/>
              <w:ind w:left="280"/>
              <w:spacing w:after="0"/>
              <w:rPr>
                <w:sz w:val="20"/>
                <w:szCs w:val="20"/>
                <w:color w:val="auto"/>
              </w:rPr>
            </w:pPr>
            <w:r>
              <w:rPr>
                <w:rFonts w:ascii="Arial" w:cs="Arial" w:eastAsia="Arial" w:hAnsi="Arial"/>
                <w:sz w:val="16"/>
                <w:szCs w:val="16"/>
                <w:b w:val="1"/>
                <w:bCs w:val="1"/>
                <w:color w:val="auto"/>
                <w:w w:val="91"/>
              </w:rPr>
              <w:t>(917) 546-6828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60" w:type="dxa"/>
            <w:vAlign w:val="bottom"/>
          </w:tcPr>
          <w:p>
            <w:pPr>
              <w:spacing w:after="0"/>
              <w:rPr>
                <w:sz w:val="24"/>
                <w:szCs w:val="24"/>
                <w:color w:val="auto"/>
              </w:rPr>
            </w:pPr>
          </w:p>
        </w:tc>
      </w:tr>
      <w:tr>
        <w:trPr>
          <w:trHeight w:val="208"/>
        </w:trPr>
        <w:tc>
          <w:tcPr>
            <w:tcW w:w="3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00" w:type="dxa"/>
            <w:vAlign w:val="bottom"/>
            <w:gridSpan w:val="6"/>
          </w:tcPr>
          <w:p>
            <w:pPr>
              <w:jc w:val="center"/>
              <w:ind w:right="260"/>
              <w:spacing w:after="0"/>
              <w:rPr>
                <w:sz w:val="20"/>
                <w:szCs w:val="20"/>
                <w:color w:val="auto"/>
              </w:rPr>
            </w:pPr>
            <w:r>
              <w:rPr>
                <w:rFonts w:ascii="Arial" w:cs="Arial" w:eastAsia="Arial" w:hAnsi="Arial"/>
                <w:sz w:val="16"/>
                <w:szCs w:val="16"/>
                <w:b w:val="1"/>
                <w:bCs w:val="1"/>
                <w:color w:val="auto"/>
                <w:w w:val="88"/>
              </w:rPr>
              <w:t>(Registrant’s telephone number, including area code)</w:t>
            </w:r>
          </w:p>
        </w:tc>
        <w:tc>
          <w:tcPr>
            <w:tcW w:w="3360" w:type="dxa"/>
            <w:vAlign w:val="bottom"/>
          </w:tcPr>
          <w:p>
            <w:pPr>
              <w:spacing w:after="0"/>
              <w:rPr>
                <w:sz w:val="18"/>
                <w:szCs w:val="18"/>
                <w:color w:val="auto"/>
              </w:rPr>
            </w:pPr>
          </w:p>
        </w:tc>
      </w:tr>
    </w:tbl>
    <w:p>
      <w:pPr>
        <w:spacing w:after="0" w:line="17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186" w:lineRule="exact"/>
        <w:rPr>
          <w:sz w:val="24"/>
          <w:szCs w:val="24"/>
          <w:color w:val="auto"/>
        </w:rPr>
      </w:pPr>
    </w:p>
    <w:p>
      <w:pPr>
        <w:ind w:left="4"/>
        <w:spacing w:after="0"/>
        <w:rPr>
          <w:sz w:val="20"/>
          <w:szCs w:val="20"/>
          <w:color w:val="auto"/>
        </w:rPr>
      </w:pPr>
      <w:r>
        <w:rPr>
          <w:rFonts w:ascii="Arial" w:cs="Arial" w:eastAsia="Arial" w:hAnsi="Arial"/>
          <w:sz w:val="15"/>
          <w:szCs w:val="15"/>
          <w:color w:val="auto"/>
        </w:rPr>
        <w:t>Check the appropriate box below if the Form 8-K is intended to simultaneously satisfy the filing obligation of the Registrant under any of the following provisions:</w:t>
      </w:r>
    </w:p>
    <w:p>
      <w:pPr>
        <w:spacing w:after="0" w:line="210" w:lineRule="exact"/>
        <w:rPr>
          <w:sz w:val="24"/>
          <w:szCs w:val="24"/>
          <w:color w:val="auto"/>
        </w:rPr>
      </w:pPr>
    </w:p>
    <w:p>
      <w:pPr>
        <w:ind w:left="284" w:hanging="284"/>
        <w:spacing w:after="0"/>
        <w:tabs>
          <w:tab w:leader="none" w:pos="28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8" w:lineRule="exact"/>
        <w:rPr>
          <w:sz w:val="24"/>
          <w:szCs w:val="24"/>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8" w:lineRule="exact"/>
        <w:rPr>
          <w:rFonts w:ascii="MS PGothic" w:cs="MS PGothic" w:eastAsia="MS PGothic" w:hAnsi="MS PGothic"/>
          <w:sz w:val="16"/>
          <w:szCs w:val="16"/>
          <w:color w:val="auto"/>
        </w:rPr>
      </w:pPr>
    </w:p>
    <w:p>
      <w:pPr>
        <w:ind w:left="284" w:hanging="284"/>
        <w:spacing w:after="0"/>
        <w:tabs>
          <w:tab w:leader="none" w:pos="284"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8" w:lineRule="exact"/>
        <w:rPr>
          <w:rFonts w:ascii="MS PGothic" w:cs="MS PGothic" w:eastAsia="MS PGothic" w:hAnsi="MS PGothic"/>
          <w:sz w:val="16"/>
          <w:szCs w:val="16"/>
          <w:color w:val="auto"/>
        </w:rPr>
      </w:pPr>
    </w:p>
    <w:p>
      <w:pPr>
        <w:ind w:left="4" w:right="3860" w:hanging="4"/>
        <w:spacing w:after="0" w:line="496" w:lineRule="auto"/>
        <w:tabs>
          <w:tab w:leader="none" w:pos="291"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Securities Exchange Act of 1934:</w:t>
      </w:r>
    </w:p>
    <w:tbl>
      <w:tblPr>
        <w:tblLayout w:type="fixed"/>
        <w:tblInd w:w="4" w:type="dxa"/>
        <w:tblCellMar>
          <w:top w:w="0" w:type="dxa"/>
          <w:left w:w="0" w:type="dxa"/>
          <w:bottom w:w="0" w:type="dxa"/>
          <w:right w:w="0" w:type="dxa"/>
        </w:tblCellMar>
      </w:tblPr>
      <w:tr>
        <w:trPr>
          <w:trHeight w:val="191"/>
        </w:trPr>
        <w:tc>
          <w:tcPr>
            <w:tcW w:w="3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7"/>
              </w:rPr>
              <w:t>Name of each exchange on</w:t>
            </w:r>
          </w:p>
        </w:tc>
      </w:tr>
      <w:tr>
        <w:trPr>
          <w:trHeight w:val="212"/>
        </w:trPr>
        <w:tc>
          <w:tcPr>
            <w:tcW w:w="38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Title of each class</w:t>
            </w:r>
          </w:p>
        </w:tc>
        <w:tc>
          <w:tcPr>
            <w:tcW w:w="38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Trading Symbol(s)</w:t>
            </w: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88"/>
              </w:rPr>
              <w:t>which registered</w:t>
            </w:r>
          </w:p>
        </w:tc>
      </w:tr>
      <w:tr>
        <w:trPr>
          <w:trHeight w:val="179"/>
        </w:trPr>
        <w:tc>
          <w:tcPr>
            <w:tcW w:w="36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89"/>
              </w:rPr>
              <w:t>Units, each consisting of one Class A ordinary share</w:t>
            </w:r>
          </w:p>
        </w:tc>
        <w:tc>
          <w:tcPr>
            <w:tcW w:w="24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rPr>
              <w:t>WALDU</w:t>
            </w:r>
          </w:p>
        </w:tc>
        <w:tc>
          <w:tcPr>
            <w:tcW w:w="220" w:type="dxa"/>
            <w:vAlign w:val="bottom"/>
            <w:tcBorders>
              <w:top w:val="single" w:sz="8" w:color="CCEEFF"/>
            </w:tcBorders>
            <w:shd w:val="clear" w:color="auto" w:fill="CCEEFF"/>
          </w:tcPr>
          <w:p>
            <w:pPr>
              <w:spacing w:after="0"/>
              <w:rPr>
                <w:sz w:val="15"/>
                <w:szCs w:val="15"/>
                <w:color w:val="auto"/>
              </w:rPr>
            </w:pPr>
          </w:p>
        </w:tc>
        <w:tc>
          <w:tcPr>
            <w:tcW w:w="3600" w:type="dxa"/>
            <w:vAlign w:val="bottom"/>
            <w:tcBorders>
              <w:top w:val="single" w:sz="8" w:color="auto"/>
            </w:tcBorders>
            <w:shd w:val="clear" w:color="auto" w:fill="CCEEFF"/>
          </w:tcPr>
          <w:p>
            <w:pPr>
              <w:jc w:val="center"/>
              <w:spacing w:after="0" w:line="179" w:lineRule="exact"/>
              <w:rPr>
                <w:sz w:val="20"/>
                <w:szCs w:val="20"/>
                <w:color w:val="auto"/>
              </w:rPr>
            </w:pPr>
            <w:r>
              <w:rPr>
                <w:rFonts w:ascii="Arial" w:cs="Arial" w:eastAsia="Arial" w:hAnsi="Arial"/>
                <w:sz w:val="16"/>
                <w:szCs w:val="16"/>
                <w:color w:val="auto"/>
                <w:w w:val="91"/>
              </w:rPr>
              <w:t>The Nasdaq Stock Market LLC</w:t>
            </w:r>
          </w:p>
        </w:tc>
      </w:tr>
      <w:tr>
        <w:trPr>
          <w:trHeight w:val="204"/>
        </w:trPr>
        <w:tc>
          <w:tcPr>
            <w:tcW w:w="38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89"/>
              </w:rPr>
              <w:t>and one-third of one redeemable warrant</w:t>
            </w: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r>
        <w:trPr>
          <w:trHeight w:val="191"/>
        </w:trPr>
        <w:tc>
          <w:tcPr>
            <w:tcW w:w="384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Class A ordinary shares, par value $0.0001 per share</w:t>
            </w:r>
          </w:p>
        </w:tc>
        <w:tc>
          <w:tcPr>
            <w:tcW w:w="3820" w:type="dxa"/>
            <w:vAlign w:val="bottom"/>
            <w:gridSpan w:val="2"/>
          </w:tcPr>
          <w:p>
            <w:pPr>
              <w:jc w:val="center"/>
              <w:ind w:right="240"/>
              <w:spacing w:after="0"/>
              <w:rPr>
                <w:sz w:val="20"/>
                <w:szCs w:val="20"/>
                <w:color w:val="auto"/>
              </w:rPr>
            </w:pPr>
            <w:r>
              <w:rPr>
                <w:rFonts w:ascii="Arial" w:cs="Arial" w:eastAsia="Arial" w:hAnsi="Arial"/>
                <w:sz w:val="16"/>
                <w:szCs w:val="16"/>
                <w:color w:val="auto"/>
                <w:w w:val="99"/>
              </w:rPr>
              <w:t>WALD</w:t>
            </w:r>
          </w:p>
        </w:tc>
        <w:tc>
          <w:tcPr>
            <w:tcW w:w="3600" w:type="dxa"/>
            <w:vAlign w:val="bottom"/>
          </w:tcPr>
          <w:p>
            <w:pPr>
              <w:jc w:val="center"/>
              <w:spacing w:after="0"/>
              <w:rPr>
                <w:sz w:val="20"/>
                <w:szCs w:val="20"/>
                <w:color w:val="auto"/>
              </w:rPr>
            </w:pPr>
            <w:r>
              <w:rPr>
                <w:rFonts w:ascii="Arial" w:cs="Arial" w:eastAsia="Arial" w:hAnsi="Arial"/>
                <w:sz w:val="16"/>
                <w:szCs w:val="16"/>
                <w:color w:val="auto"/>
                <w:w w:val="91"/>
              </w:rPr>
              <w:t>The Nasdaq Stock Market LLC</w:t>
            </w:r>
          </w:p>
        </w:tc>
      </w:tr>
      <w:tr>
        <w:trPr>
          <w:trHeight w:val="179"/>
        </w:trPr>
        <w:tc>
          <w:tcPr>
            <w:tcW w:w="3840" w:type="dxa"/>
            <w:vAlign w:val="bottom"/>
            <w:gridSpan w:val="2"/>
            <w:shd w:val="clear" w:color="auto" w:fill="CCEEFF"/>
          </w:tcPr>
          <w:p>
            <w:pPr>
              <w:jc w:val="center"/>
              <w:ind w:right="240"/>
              <w:spacing w:after="0" w:line="179" w:lineRule="exact"/>
              <w:rPr>
                <w:sz w:val="20"/>
                <w:szCs w:val="20"/>
                <w:color w:val="auto"/>
              </w:rPr>
            </w:pPr>
            <w:r>
              <w:rPr>
                <w:rFonts w:ascii="Arial" w:cs="Arial" w:eastAsia="Arial" w:hAnsi="Arial"/>
                <w:sz w:val="16"/>
                <w:szCs w:val="16"/>
                <w:color w:val="auto"/>
                <w:w w:val="88"/>
              </w:rPr>
              <w:t>Redeemable warrants, each whole warrant exercisable</w:t>
            </w:r>
          </w:p>
        </w:tc>
        <w:tc>
          <w:tcPr>
            <w:tcW w:w="3820" w:type="dxa"/>
            <w:vAlign w:val="bottom"/>
            <w:gridSpan w:val="2"/>
            <w:shd w:val="clear" w:color="auto" w:fill="CCEEFF"/>
          </w:tcPr>
          <w:p>
            <w:pPr>
              <w:jc w:val="center"/>
              <w:ind w:right="220"/>
              <w:spacing w:after="0" w:line="179" w:lineRule="exact"/>
              <w:rPr>
                <w:sz w:val="20"/>
                <w:szCs w:val="20"/>
                <w:color w:val="auto"/>
              </w:rPr>
            </w:pPr>
            <w:r>
              <w:rPr>
                <w:rFonts w:ascii="Arial" w:cs="Arial" w:eastAsia="Arial" w:hAnsi="Arial"/>
                <w:sz w:val="16"/>
                <w:szCs w:val="16"/>
                <w:color w:val="auto"/>
                <w:w w:val="97"/>
              </w:rPr>
              <w:t>WALDW</w:t>
            </w:r>
          </w:p>
        </w:tc>
        <w:tc>
          <w:tcPr>
            <w:tcW w:w="3600" w:type="dxa"/>
            <w:vAlign w:val="bottom"/>
            <w:shd w:val="clear" w:color="auto" w:fill="CCEEFF"/>
          </w:tcPr>
          <w:p>
            <w:pPr>
              <w:jc w:val="center"/>
              <w:spacing w:after="0" w:line="179" w:lineRule="exact"/>
              <w:rPr>
                <w:sz w:val="20"/>
                <w:szCs w:val="20"/>
                <w:color w:val="auto"/>
              </w:rPr>
            </w:pPr>
            <w:r>
              <w:rPr>
                <w:rFonts w:ascii="Arial" w:cs="Arial" w:eastAsia="Arial" w:hAnsi="Arial"/>
                <w:sz w:val="16"/>
                <w:szCs w:val="16"/>
                <w:color w:val="auto"/>
                <w:w w:val="91"/>
              </w:rPr>
              <w:t>The Nasdaq Stock Market LLC</w:t>
            </w:r>
          </w:p>
        </w:tc>
      </w:tr>
      <w:tr>
        <w:trPr>
          <w:trHeight w:val="191"/>
        </w:trPr>
        <w:tc>
          <w:tcPr>
            <w:tcW w:w="3840" w:type="dxa"/>
            <w:vAlign w:val="bottom"/>
            <w:gridSpan w:val="2"/>
            <w:shd w:val="clear" w:color="auto" w:fill="CCEEFF"/>
          </w:tcPr>
          <w:p>
            <w:pPr>
              <w:jc w:val="center"/>
              <w:ind w:right="240"/>
              <w:spacing w:after="0"/>
              <w:rPr>
                <w:sz w:val="20"/>
                <w:szCs w:val="20"/>
                <w:color w:val="auto"/>
              </w:rPr>
            </w:pPr>
            <w:r>
              <w:rPr>
                <w:rFonts w:ascii="Arial" w:cs="Arial" w:eastAsia="Arial" w:hAnsi="Arial"/>
                <w:sz w:val="16"/>
                <w:szCs w:val="16"/>
                <w:color w:val="auto"/>
                <w:w w:val="90"/>
              </w:rPr>
              <w:t>for one Class A ordinary share at an exercise price of</w:t>
            </w:r>
          </w:p>
        </w:tc>
        <w:tc>
          <w:tcPr>
            <w:tcW w:w="3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0" w:type="dxa"/>
            <w:vAlign w:val="bottom"/>
            <w:shd w:val="clear" w:color="auto" w:fill="CCEEFF"/>
          </w:tcPr>
          <w:p>
            <w:pPr>
              <w:spacing w:after="0"/>
              <w:rPr>
                <w:sz w:val="16"/>
                <w:szCs w:val="16"/>
                <w:color w:val="auto"/>
              </w:rPr>
            </w:pPr>
          </w:p>
        </w:tc>
      </w:tr>
      <w:tr>
        <w:trPr>
          <w:trHeight w:val="204"/>
        </w:trPr>
        <w:tc>
          <w:tcPr>
            <w:tcW w:w="3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$11.50</w:t>
            </w:r>
          </w:p>
        </w:tc>
        <w:tc>
          <w:tcPr>
            <w:tcW w:w="24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r>
    </w:tbl>
    <w:p>
      <w:pPr>
        <w:spacing w:after="0" w:line="179" w:lineRule="exact"/>
        <w:rPr>
          <w:sz w:val="24"/>
          <w:szCs w:val="24"/>
          <w:color w:val="auto"/>
        </w:rPr>
      </w:pPr>
    </w:p>
    <w:p>
      <w:pPr>
        <w:jc w:val="both"/>
        <w:ind w:left="4"/>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2" w:lineRule="exact"/>
        <w:rPr>
          <w:sz w:val="24"/>
          <w:szCs w:val="24"/>
          <w:color w:val="auto"/>
        </w:rPr>
      </w:pPr>
    </w:p>
    <w:p>
      <w:pPr>
        <w:ind w:left="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8" w:lineRule="exact"/>
        <w:rPr>
          <w:sz w:val="24"/>
          <w:szCs w:val="24"/>
          <w:color w:val="auto"/>
        </w:rPr>
      </w:pPr>
    </w:p>
    <w:p>
      <w:pPr>
        <w:jc w:val="both"/>
        <w:ind w:left="4"/>
        <w:spacing w:after="0" w:line="20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528320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470"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7.01. Regulation FD Disclosure.</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previously disclosed, on November 15, 2021, Waldencast Acquisition Corp. (“</w:t>
      </w:r>
      <w:r>
        <w:rPr>
          <w:rFonts w:ascii="Arial" w:cs="Arial" w:eastAsia="Arial" w:hAnsi="Arial"/>
          <w:sz w:val="16"/>
          <w:szCs w:val="16"/>
          <w:u w:val="single" w:color="auto"/>
          <w:color w:val="auto"/>
        </w:rPr>
        <w:t>Waldencast</w:t>
      </w:r>
      <w:r>
        <w:rPr>
          <w:rFonts w:ascii="Arial" w:cs="Arial" w:eastAsia="Arial" w:hAnsi="Arial"/>
          <w:sz w:val="16"/>
          <w:szCs w:val="16"/>
          <w:color w:val="auto"/>
        </w:rPr>
        <w:t>”) (i) entered into an Agreement and Plan of Merger (the “</w:t>
      </w:r>
      <w:r>
        <w:rPr>
          <w:rFonts w:ascii="Arial" w:cs="Arial" w:eastAsia="Arial" w:hAnsi="Arial"/>
          <w:sz w:val="16"/>
          <w:szCs w:val="16"/>
          <w:u w:val="single" w:color="auto"/>
          <w:color w:val="auto"/>
        </w:rPr>
        <w:t>Obagi Merger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among Waldencast, Obagi Merger Sub, Inc., a Cayman Islands exempted company limited by shares and an indirect wholly owned subsidiary of Waldencast, and Obagi Global Holdings Limited, a Cayman Islands exempted company limited by shares (“</w:t>
      </w:r>
      <w:r>
        <w:rPr>
          <w:rFonts w:ascii="Arial" w:cs="Arial" w:eastAsia="Arial" w:hAnsi="Arial"/>
          <w:sz w:val="16"/>
          <w:szCs w:val="16"/>
          <w:u w:val="single" w:color="auto"/>
          <w:color w:val="auto"/>
        </w:rPr>
        <w:t>Obagi</w:t>
      </w:r>
      <w:r>
        <w:rPr>
          <w:rFonts w:ascii="Arial" w:cs="Arial" w:eastAsia="Arial" w:hAnsi="Arial"/>
          <w:sz w:val="16"/>
          <w:szCs w:val="16"/>
          <w:color w:val="auto"/>
        </w:rPr>
        <w:t>”) and (ii) entered into an Equity Purchase Agreement (the “</w:t>
      </w:r>
      <w:r>
        <w:rPr>
          <w:rFonts w:ascii="Arial" w:cs="Arial" w:eastAsia="Arial" w:hAnsi="Arial"/>
          <w:sz w:val="16"/>
          <w:szCs w:val="16"/>
          <w:u w:val="single" w:color="auto"/>
          <w:color w:val="auto"/>
        </w:rPr>
        <w:t>Milk Equity Purchase Agreement</w:t>
      </w:r>
      <w:r>
        <w:rPr>
          <w:rFonts w:ascii="Arial" w:cs="Arial" w:eastAsia="Arial" w:hAnsi="Arial"/>
          <w:sz w:val="16"/>
          <w:szCs w:val="16"/>
          <w:color w:val="auto"/>
        </w:rPr>
        <w:t>” and together with the Obagi Merger Agreement, the “</w:t>
      </w:r>
      <w:r>
        <w:rPr>
          <w:rFonts w:ascii="Arial" w:cs="Arial" w:eastAsia="Arial" w:hAnsi="Arial"/>
          <w:sz w:val="16"/>
          <w:szCs w:val="16"/>
          <w:u w:val="single" w:color="auto"/>
          <w:color w:val="auto"/>
        </w:rPr>
        <w:t>Transaction Agreements</w:t>
      </w:r>
      <w:r>
        <w:rPr>
          <w:rFonts w:ascii="Arial" w:cs="Arial" w:eastAsia="Arial" w:hAnsi="Arial"/>
          <w:sz w:val="16"/>
          <w:szCs w:val="16"/>
          <w:color w:val="auto"/>
        </w:rPr>
        <w:t>”), by and among Waldencast, Obagi Holdco 1 Limited, a limited company incorporated under the laws of Jersey (“</w:t>
      </w:r>
      <w:r>
        <w:rPr>
          <w:rFonts w:ascii="Arial" w:cs="Arial" w:eastAsia="Arial" w:hAnsi="Arial"/>
          <w:sz w:val="16"/>
          <w:szCs w:val="16"/>
          <w:u w:val="single" w:color="auto"/>
          <w:color w:val="auto"/>
        </w:rPr>
        <w:t>Holdco Purchaser</w:t>
      </w:r>
      <w:r>
        <w:rPr>
          <w:rFonts w:ascii="Arial" w:cs="Arial" w:eastAsia="Arial" w:hAnsi="Arial"/>
          <w:sz w:val="16"/>
          <w:szCs w:val="16"/>
          <w:color w:val="auto"/>
        </w:rPr>
        <w:t>”), Waldencast Partners LP, a Cayman Islands exempted limited partnership (“</w:t>
      </w:r>
      <w:r>
        <w:rPr>
          <w:rFonts w:ascii="Arial" w:cs="Arial" w:eastAsia="Arial" w:hAnsi="Arial"/>
          <w:sz w:val="16"/>
          <w:szCs w:val="16"/>
          <w:u w:val="single" w:color="auto"/>
          <w:color w:val="auto"/>
        </w:rPr>
        <w:t>Waldencast LP</w:t>
      </w:r>
      <w:r>
        <w:rPr>
          <w:rFonts w:ascii="Arial" w:cs="Arial" w:eastAsia="Arial" w:hAnsi="Arial"/>
          <w:sz w:val="16"/>
          <w:szCs w:val="16"/>
          <w:color w:val="auto"/>
        </w:rPr>
        <w:t>” and together with Holdco Purchaser, the “</w:t>
      </w:r>
      <w:r>
        <w:rPr>
          <w:rFonts w:ascii="Arial" w:cs="Arial" w:eastAsia="Arial" w:hAnsi="Arial"/>
          <w:sz w:val="16"/>
          <w:szCs w:val="16"/>
          <w:u w:val="single" w:color="auto"/>
          <w:color w:val="auto"/>
        </w:rPr>
        <w:t>Purchasers</w:t>
      </w:r>
      <w:r>
        <w:rPr>
          <w:rFonts w:ascii="Arial" w:cs="Arial" w:eastAsia="Arial" w:hAnsi="Arial"/>
          <w:sz w:val="16"/>
          <w:szCs w:val="16"/>
          <w:color w:val="auto"/>
        </w:rPr>
        <w:t>”), Milk Makeup LLC, a Delaware limited liability company (“</w:t>
      </w:r>
      <w:r>
        <w:rPr>
          <w:rFonts w:ascii="Arial" w:cs="Arial" w:eastAsia="Arial" w:hAnsi="Arial"/>
          <w:sz w:val="16"/>
          <w:szCs w:val="16"/>
          <w:u w:val="single" w:color="auto"/>
          <w:color w:val="auto"/>
        </w:rPr>
        <w:t>Milk</w:t>
      </w:r>
      <w:r>
        <w:rPr>
          <w:rFonts w:ascii="Arial" w:cs="Arial" w:eastAsia="Arial" w:hAnsi="Arial"/>
          <w:sz w:val="16"/>
          <w:szCs w:val="16"/>
          <w:color w:val="auto"/>
        </w:rPr>
        <w:t>”), certain members of Milk (the “</w:t>
      </w:r>
      <w:r>
        <w:rPr>
          <w:rFonts w:ascii="Arial" w:cs="Arial" w:eastAsia="Arial" w:hAnsi="Arial"/>
          <w:sz w:val="16"/>
          <w:szCs w:val="16"/>
          <w:u w:val="single" w:color="auto"/>
          <w:color w:val="auto"/>
        </w:rPr>
        <w:t>Milk Members</w:t>
      </w:r>
      <w:r>
        <w:rPr>
          <w:rFonts w:ascii="Arial" w:cs="Arial" w:eastAsia="Arial" w:hAnsi="Arial"/>
          <w:sz w:val="16"/>
          <w:szCs w:val="16"/>
          <w:color w:val="auto"/>
        </w:rPr>
        <w:t>”), and Shareholder Representative Services LLC, a Colorado limited liability company, solely in its capacity as representative of Milk’s equityholders (the “</w:t>
      </w:r>
      <w:r>
        <w:rPr>
          <w:rFonts w:ascii="Arial" w:cs="Arial" w:eastAsia="Arial" w:hAnsi="Arial"/>
          <w:sz w:val="16"/>
          <w:szCs w:val="16"/>
          <w:u w:val="single" w:color="auto"/>
          <w:color w:val="auto"/>
        </w:rPr>
        <w:t>Equityholder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Representative</w:t>
      </w:r>
      <w:r>
        <w:rPr>
          <w:rFonts w:ascii="Arial" w:cs="Arial" w:eastAsia="Arial" w:hAnsi="Arial"/>
          <w:sz w:val="16"/>
          <w:szCs w:val="16"/>
          <w:color w:val="auto"/>
        </w:rPr>
        <w:t>”).</w:t>
      </w:r>
    </w:p>
    <w:p>
      <w:pPr>
        <w:spacing w:after="0" w:line="169" w:lineRule="exact"/>
        <w:rPr>
          <w:sz w:val="20"/>
          <w:szCs w:val="20"/>
          <w:color w:val="auto"/>
        </w:rPr>
      </w:pPr>
    </w:p>
    <w:p>
      <w:pPr>
        <w:jc w:val="both"/>
        <w:ind w:right="20"/>
        <w:spacing w:after="0" w:line="349" w:lineRule="auto"/>
        <w:rPr>
          <w:sz w:val="20"/>
          <w:szCs w:val="20"/>
          <w:color w:val="auto"/>
        </w:rPr>
      </w:pPr>
      <w:r>
        <w:rPr>
          <w:rFonts w:ascii="Arial" w:cs="Arial" w:eastAsia="Arial" w:hAnsi="Arial"/>
          <w:sz w:val="14"/>
          <w:szCs w:val="14"/>
          <w:color w:val="auto"/>
        </w:rPr>
        <w:t>On July 1, 2022 Waldencast began meeting with certain analysts, and utilized certain slides prepared by Waldencast, Obagi and Milk, to discuss the Business Combination (as defined in the Transaction Agreements). A copy of such slides are attached as Exhibit 99.1 to this Current Report on Form 8-K and incorporated into this Item 7.01 by reference</w:t>
      </w:r>
    </w:p>
    <w:p>
      <w:pPr>
        <w:spacing w:after="0" w:line="10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information in this Item 7.01 and Exhibit 99.1 attached hereto shall not be deemed “filed” for purposes of Section 18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or otherwise subject to the liabilities of that section, nor shall it be deemed incorporated by reference in any filing under the Securities Act of 1993, as amended (the “</w:t>
      </w:r>
      <w:r>
        <w:rPr>
          <w:rFonts w:ascii="Arial" w:cs="Arial" w:eastAsia="Arial" w:hAnsi="Arial"/>
          <w:sz w:val="16"/>
          <w:szCs w:val="16"/>
          <w:u w:val="single" w:color="auto"/>
          <w:color w:val="auto"/>
        </w:rPr>
        <w:t>Securities Act</w:t>
      </w:r>
      <w:r>
        <w:rPr>
          <w:rFonts w:ascii="Arial" w:cs="Arial" w:eastAsia="Arial" w:hAnsi="Arial"/>
          <w:sz w:val="16"/>
          <w:szCs w:val="16"/>
          <w:color w:val="auto"/>
        </w:rPr>
        <w:t>”) or the Exchange Act, except as expressly set forth by specific reference in such filing.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Additional Information and Where to Find It</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This communication relates to proposed transactions between Obagi and Waldencast and Milk and Waldencast. This communication is not a proxy statement or solicitation of a proxy, consent or authorization with respect to any securities or in respect of the potential transactions and shall not constitute an offer to sell or a solicitation of an offer to buy the securities of Obagi or Milk, the combined company or Waldencast, nor shall there be any sale of any such securities in any state or jurisdiction in which such offer, solicitation, or sale would be unlawful prior to registration or qualification under the securities laws of such state or jurisdiction. In connection with the proposed transactions, Waldencast filed a registration statement on Form F-4 with the SEC on February 14, 2022, as amended by Amendment No. 1 to the registration statement on Form F-4 filed with the SEC on March 4, 2022, Amendment No. 2 to the registration statement on Form F-4 filed with the SEC on March 18, 2022, Amendment No. 3 to the registration statement on Form F-4 filed with the SEC on April 27, 2022, Amendment No. 4 to the registration statement on Form F-4 filed with the SEC on May 13, 2022, Amendment No. 5 to the registration statement on Form F-4 filed with the SEC on June 16, 2022, and Amendment No. 6 to the registration statement on Form F-4 filed with the SEC on June 30, 2022, which includes a document that serves as a prospectus and proxy statement of Waldencast (the “</w:t>
      </w:r>
      <w:r>
        <w:rPr>
          <w:rFonts w:ascii="Arial" w:cs="Arial" w:eastAsia="Arial" w:hAnsi="Arial"/>
          <w:sz w:val="15"/>
          <w:szCs w:val="15"/>
          <w:u w:val="single" w:color="auto"/>
          <w:color w:val="auto"/>
        </w:rPr>
        <w:t>proxy statement/prospectus</w:t>
      </w:r>
      <w:r>
        <w:rPr>
          <w:rFonts w:ascii="Arial" w:cs="Arial" w:eastAsia="Arial" w:hAnsi="Arial"/>
          <w:sz w:val="15"/>
          <w:szCs w:val="15"/>
          <w:color w:val="auto"/>
        </w:rPr>
        <w:t>”). The proxy statement/prospectus will be sent to all Waldencast shareholders. Waldencast also will file other documents regarding the proposed transactions with the SEC. This communication does not contain all the information that should be considered concerning the proposed transactions and is not intended to form the basis of any investment decision or any other decision in respect of the proposed transactions. Before making any voting decision, investors and security holders of Waldencast are urged to read the registration statement, the proxy statement/prospectus and all other relevant documents filed or that will be filed with the SEC in connection with the proposed transactions as they become available because they will contain important information about the proposed transactions.</w:t>
      </w:r>
    </w:p>
    <w:p>
      <w:pPr>
        <w:spacing w:after="0" w:line="161"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Investors and security holders may obtain free copies of the registration statement, the proxy statement/prospectus and all other relevant documents filed or that will be filed with the SEC by Waldencast through the website maintained by the SEC at www.sec.gov.</w:t>
      </w:r>
    </w:p>
    <w:p>
      <w:pPr>
        <w:spacing w:after="0" w:line="152"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documents filed by Waldencast with the SEC also may be obtained free of charge at Waldencast’s website at https://www.waldencast.com or upon written request to 10 Bank Street, Suite 560, White Plains, NY 10606.</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spacing w:after="0"/>
        <w:rPr>
          <w:sz w:val="20"/>
          <w:szCs w:val="20"/>
          <w:color w:val="auto"/>
        </w:rPr>
      </w:pPr>
      <w:r>
        <w:rPr>
          <w:rFonts w:ascii="Arial" w:cs="Arial" w:eastAsia="Arial" w:hAnsi="Arial"/>
          <w:sz w:val="16"/>
          <w:szCs w:val="16"/>
          <w:i w:val="1"/>
          <w:iCs w:val="1"/>
          <w:color w:val="auto"/>
        </w:rPr>
        <w:t>Participants in the Solicitation</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Waldencast, Obagi, and Milk, and their respective directors and executive officers may be deemed to be participants in the solicitation of proxies from Waldencast’s shareholders in connection with the proposed transaction. A list of the names of the directors and executive officers of Waldencast and information regarding their interests in the business combinations is set forth in Waldencast’s registration statement on Form S-1 (File No. 333-253370) filed with the SEC on March 15, 2021. Additional information regarding the interests of such persons will be contained in the registration statement and the proxy statement/prospectus when available. You may obtain free copies of these documents as described in the preceding paragraph.</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Forward-Looking Statements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4"/>
          <w:szCs w:val="14"/>
          <w:color w:val="auto"/>
        </w:rPr>
        <w:t>This communication contains certain forward-looking statements within the meaning of the federal securities laws with respect to the proposed transactions among Obagi, Milk and Waldencast, including statements regarding the intended benefits of the transactions, the anticipated timing of the transactions and the growth strategies of Waldencast, Obagi and Milk. These forward-looking statements generally are identified by the words “estimates,” “projects,” “expects,” “anticipates,” “forecasts,” “plans,” “intends,” “believes,” “seeks,” “may,” “will,” “would,” “should,” “future,” “propose,” “target,” “goal,” “objective,” “outlook”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the control of Waldencast, Obagi, and Milk, that could cause actual results or outcomes to differ materially from those discussed in the forward-looking statements. Important factors, among others, that may affect actual results or outcomes include, but are not limited to: (i) the risk that the transactions may not be completed in a timely manner or at all, which may adversely affect the price of Waldencast’s securities, (ii) the risk that Waldencast shareholder approval of the proposed transactions is not obtained, (iii) the inability to recognize the anticipated benefits of the proposed transactions, which may be affected by, among other things, the amount of funds available in Waldencast’s trust account following any redemptions by Waldencast’s shareholders, (iv) the failure to receive certain governmental and regulatory approvals, (v) the inability to complete the PIPE Investment or the Forward Purchase Agreements investments (as such terms are defined in the registration statement on Form F-4 discussed above), (vi) the occurrence of any event, change or other circumstance that could give rise to the termination of the Obagi Merger Agreement or the Milk Equity Purchase Agreement (as such terms are defined in the registration statement on Form F-4 discussed above), (vii) changes in general economic conditions, including as a result of the COVID-19 pandemic, (viii) the outcome of litigation related to or arising out of the proposed transactions, or any adverse developments therein or delays or costs resulting therefrom, (ix) the effect of the announcement or pendency of the transactions on Obagi’s or Milk’s business relationships, operating results, and businesses generally, (x) the ability to continue to meet Nasdaq’s listing standards following the consummation of the proposed transactions, (xi) costs related to the proposed transactions, (xii) that the price of Waldencast’s securities may be volatile due to a variety of factors, including Waldencast’s, Obagi’s or Milk’s inability to implement their business plans or meet or exceed their financial projections and changes in the combined capital structure, (xiii) the ability to implement business plans, forecasts, and other expectations after the completion of the proposed transactions, and identify and realize additional opportunities and (xiv) the ability of Obagi and Milk to implement their strategic initiatives and continue to innovate their existing products and anticipate and respond to market trends and changes in consumer preferences. The foregoing list of factors is not exhaustive. You should carefully consider the foregoing factors and the other risks and uncertainties described in the “Risk Factors” section of Waldencast’s registration statement on Form S-1 (File No. 333-253370), the registration statement on Form F-4 discussed above, the proxy statement/prospectus and other documents filed or that may be filed by Waldencast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Obagi, Milk and Waldencast assume no obligation and do not intend to update or revise these forward-looking statements, whether as a result of new information, future events, or otherwise. Neither Waldencast, Obagi, or Milk gives any assurance that Waldencast, Obagi or Milk, or the combined company, will achieve their expectations.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3" w:name="page4"/>
    <w:bookmarkEnd w:id="3"/>
    <w:p>
      <w:pPr>
        <w:ind w:left="4"/>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02" w:lineRule="exact"/>
        <w:rPr>
          <w:sz w:val="20"/>
          <w:szCs w:val="20"/>
          <w:color w:val="auto"/>
        </w:rPr>
      </w:pPr>
    </w:p>
    <w:tbl>
      <w:tblPr>
        <w:tblLayout w:type="fixed"/>
        <w:tblInd w:w="4" w:type="dxa"/>
        <w:tblCellMar>
          <w:top w:w="0" w:type="dxa"/>
          <w:left w:w="0" w:type="dxa"/>
          <w:bottom w:w="0" w:type="dxa"/>
          <w:right w:w="0" w:type="dxa"/>
        </w:tblCellMar>
      </w:tblPr>
      <w:tr>
        <w:trPr>
          <w:trHeight w:val="204"/>
        </w:trPr>
        <w:tc>
          <w:tcPr>
            <w:tcW w:w="1020" w:type="dxa"/>
            <w:vAlign w:val="bottom"/>
          </w:tcPr>
          <w:p>
            <w:pPr>
              <w:spacing w:after="0"/>
              <w:rPr>
                <w:sz w:val="20"/>
                <w:szCs w:val="20"/>
                <w:color w:val="auto"/>
              </w:rPr>
            </w:pPr>
            <w:r>
              <w:rPr>
                <w:rFonts w:ascii="Arial" w:cs="Arial" w:eastAsia="Arial" w:hAnsi="Arial"/>
                <w:sz w:val="16"/>
                <w:szCs w:val="16"/>
                <w:color w:val="auto"/>
              </w:rPr>
              <w:t>(d) Exhibits.</w:t>
            </w: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820" w:type="dxa"/>
            <w:vAlign w:val="bottom"/>
          </w:tcPr>
          <w:p>
            <w:pPr>
              <w:spacing w:after="0"/>
              <w:rPr>
                <w:sz w:val="17"/>
                <w:szCs w:val="17"/>
                <w:color w:val="auto"/>
              </w:rPr>
            </w:pPr>
          </w:p>
        </w:tc>
      </w:tr>
      <w:tr>
        <w:trPr>
          <w:trHeight w:val="386"/>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40" w:type="dxa"/>
            <w:vAlign w:val="bottom"/>
            <w:gridSpan w:val="3"/>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tcBorders>
              <w:top w:val="single" w:sz="8" w:color="auto"/>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300" w:type="dxa"/>
            <w:vAlign w:val="bottom"/>
            <w:tcBorders>
              <w:top w:val="single" w:sz="8" w:color="auto"/>
              <w:bottom w:val="single" w:sz="8" w:color="0000EE"/>
            </w:tcBorders>
            <w:shd w:val="clear" w:color="auto" w:fill="CCEEFF"/>
          </w:tcPr>
          <w:p>
            <w:pPr>
              <w:spacing w:after="0" w:line="155" w:lineRule="exact"/>
              <w:rPr>
                <w:rFonts w:ascii="Arial" w:cs="Arial" w:eastAsia="Arial" w:hAnsi="Arial"/>
                <w:sz w:val="16"/>
                <w:szCs w:val="16"/>
                <w:color w:val="0000EE"/>
                <w:w w:val="87"/>
              </w:rPr>
            </w:pPr>
            <w:hyperlink w:anchor="page6">
              <w:r>
                <w:rPr>
                  <w:rFonts w:ascii="Arial" w:cs="Arial" w:eastAsia="Arial" w:hAnsi="Arial"/>
                  <w:sz w:val="16"/>
                  <w:szCs w:val="16"/>
                  <w:color w:val="0000EE"/>
                  <w:w w:val="87"/>
                </w:rPr>
                <w:t>Supplemental Slides</w:t>
              </w:r>
            </w:hyperlink>
          </w:p>
        </w:tc>
        <w:tc>
          <w:tcPr>
            <w:tcW w:w="8820" w:type="dxa"/>
            <w:vAlign w:val="bottom"/>
            <w:tcBorders>
              <w:top w:val="single" w:sz="8" w:color="auto"/>
              <w:bottom w:val="single" w:sz="8" w:color="CCEEFF"/>
            </w:tcBorders>
            <w:shd w:val="clear" w:color="auto" w:fill="CCEEFF"/>
          </w:tcPr>
          <w:p>
            <w:pPr>
              <w:spacing w:after="0"/>
              <w:rPr>
                <w:sz w:val="14"/>
                <w:szCs w:val="14"/>
                <w:color w:val="auto"/>
              </w:rPr>
            </w:pPr>
          </w:p>
        </w:tc>
      </w:tr>
    </w:tbl>
    <w:p>
      <w:pPr>
        <w:ind w:left="5584" w:right="5020" w:hanging="5584"/>
        <w:spacing w:after="0" w:line="570" w:lineRule="auto"/>
        <w:tabs>
          <w:tab w:leader="none" w:pos="1131" w:val="left"/>
        </w:tabs>
        <w:numPr>
          <w:ilvl w:val="0"/>
          <w:numId w:val="3"/>
        </w:numPr>
        <w:rPr>
          <w:rFonts w:ascii="Arial" w:cs="Arial" w:eastAsia="Arial" w:hAnsi="Arial"/>
          <w:sz w:val="14"/>
          <w:szCs w:val="14"/>
          <w:color w:val="auto"/>
        </w:rPr>
      </w:pPr>
      <w:r>
        <w:rPr>
          <w:rFonts w:ascii="Arial" w:cs="Arial" w:eastAsia="Arial" w:hAnsi="Arial"/>
          <w:sz w:val="14"/>
          <w:szCs w:val="14"/>
          <w:color w:val="auto"/>
        </w:rPr>
        <w:t>Cover Page Interactive Data File (embedded within the Inline XBRL document)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SIGNATURE</w:t>
      </w:r>
    </w:p>
    <w:p>
      <w:pPr>
        <w:spacing w:after="0" w:line="20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380" w:type="dxa"/>
            <w:vAlign w:val="bottom"/>
          </w:tcPr>
          <w:p>
            <w:pPr>
              <w:spacing w:after="0"/>
              <w:rPr>
                <w:sz w:val="18"/>
                <w:szCs w:val="18"/>
                <w:color w:val="auto"/>
              </w:rPr>
            </w:pPr>
          </w:p>
        </w:tc>
        <w:tc>
          <w:tcPr>
            <w:tcW w:w="7880" w:type="dxa"/>
            <w:vAlign w:val="bottom"/>
            <w:gridSpan w:val="2"/>
          </w:tcPr>
          <w:p>
            <w:pPr>
              <w:ind w:left="3380"/>
              <w:spacing w:after="0"/>
              <w:rPr>
                <w:sz w:val="20"/>
                <w:szCs w:val="20"/>
                <w:color w:val="auto"/>
              </w:rPr>
            </w:pPr>
            <w:r>
              <w:rPr>
                <w:rFonts w:ascii="Arial" w:cs="Arial" w:eastAsia="Arial" w:hAnsi="Arial"/>
                <w:sz w:val="16"/>
                <w:szCs w:val="16"/>
                <w:b w:val="1"/>
                <w:bCs w:val="1"/>
                <w:color w:val="auto"/>
              </w:rPr>
              <w:t>Waldencast Acquisition Corp.</w:t>
            </w:r>
          </w:p>
        </w:tc>
      </w:tr>
      <w:tr>
        <w:trPr>
          <w:trHeight w:val="386"/>
        </w:trPr>
        <w:tc>
          <w:tcPr>
            <w:tcW w:w="3380" w:type="dxa"/>
            <w:vAlign w:val="bottom"/>
          </w:tcPr>
          <w:p>
            <w:pPr>
              <w:spacing w:after="0"/>
              <w:rPr>
                <w:sz w:val="20"/>
                <w:szCs w:val="20"/>
                <w:color w:val="auto"/>
              </w:rPr>
            </w:pPr>
            <w:r>
              <w:rPr>
                <w:rFonts w:ascii="Arial" w:cs="Arial" w:eastAsia="Arial" w:hAnsi="Arial"/>
                <w:sz w:val="16"/>
                <w:szCs w:val="16"/>
                <w:color w:val="auto"/>
              </w:rPr>
              <w:t>Date: July 5, 2022</w:t>
            </w:r>
          </w:p>
        </w:tc>
        <w:tc>
          <w:tcPr>
            <w:tcW w:w="3940" w:type="dxa"/>
            <w:vAlign w:val="bottom"/>
          </w:tcPr>
          <w:p>
            <w:pPr>
              <w:ind w:left="338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Michel Brousset</w:t>
            </w:r>
          </w:p>
        </w:tc>
      </w:tr>
      <w:tr>
        <w:trPr>
          <w:trHeight w:val="179"/>
        </w:trPr>
        <w:tc>
          <w:tcPr>
            <w:tcW w:w="3380" w:type="dxa"/>
            <w:vAlign w:val="bottom"/>
          </w:tcPr>
          <w:p>
            <w:pPr>
              <w:spacing w:after="0"/>
              <w:rPr>
                <w:sz w:val="15"/>
                <w:szCs w:val="15"/>
                <w:color w:val="auto"/>
              </w:rPr>
            </w:pPr>
          </w:p>
        </w:tc>
        <w:tc>
          <w:tcPr>
            <w:tcW w:w="3940" w:type="dxa"/>
            <w:vAlign w:val="bottom"/>
          </w:tcPr>
          <w:p>
            <w:pPr>
              <w:ind w:left="338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Michel Brousset</w:t>
            </w:r>
          </w:p>
        </w:tc>
      </w:tr>
      <w:tr>
        <w:trPr>
          <w:trHeight w:val="191"/>
        </w:trPr>
        <w:tc>
          <w:tcPr>
            <w:tcW w:w="3380" w:type="dxa"/>
            <w:vAlign w:val="bottom"/>
          </w:tcPr>
          <w:p>
            <w:pPr>
              <w:spacing w:after="0"/>
              <w:rPr>
                <w:sz w:val="16"/>
                <w:szCs w:val="16"/>
                <w:color w:val="auto"/>
              </w:rPr>
            </w:pPr>
          </w:p>
        </w:tc>
        <w:tc>
          <w:tcPr>
            <w:tcW w:w="3940" w:type="dxa"/>
            <w:vAlign w:val="bottom"/>
          </w:tcPr>
          <w:p>
            <w:pPr>
              <w:ind w:left="338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Executive Officer</w:t>
            </w:r>
          </w:p>
        </w:tc>
      </w:tr>
      <w:tr>
        <w:trPr>
          <w:trHeight w:val="204"/>
        </w:trPr>
        <w:tc>
          <w:tcPr>
            <w:tcW w:w="338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(Principal Executive and Accounting Officer)</w:t>
            </w:r>
          </w:p>
        </w:tc>
      </w:tr>
      <w:tr>
        <w:trPr>
          <w:trHeight w:val="577"/>
        </w:trPr>
        <w:tc>
          <w:tcPr>
            <w:tcW w:w="33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2200"/>
              <w:spacing w:after="0"/>
              <w:rPr>
                <w:sz w:val="20"/>
                <w:szCs w:val="20"/>
                <w:color w:val="auto"/>
              </w:rPr>
            </w:pPr>
            <w:r>
              <w:rPr>
                <w:rFonts w:ascii="Arial" w:cs="Arial" w:eastAsia="Arial" w:hAnsi="Arial"/>
                <w:sz w:val="16"/>
                <w:szCs w:val="16"/>
                <w:color w:val="auto"/>
              </w:rPr>
              <w:t>4</w:t>
            </w: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5" w:name="page6"/>
    <w:bookmarkEnd w:id="5"/>
    <w:p>
      <w:pPr>
        <w:ind w:left="9300"/>
        <w:spacing w:after="0"/>
        <w:rPr>
          <w:sz w:val="20"/>
          <w:szCs w:val="20"/>
          <w:color w:val="auto"/>
        </w:rPr>
      </w:pPr>
      <w:r>
        <w:rPr>
          <w:rFonts w:ascii="Arial" w:cs="Arial" w:eastAsia="Arial" w:hAnsi="Arial"/>
          <w:sz w:val="15"/>
          <w:szCs w:val="15"/>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433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2022-07-05T05:15:30Z</dcterms:created>
  <dcterms:modified xsi:type="dcterms:W3CDTF">2022-07-05T05:15:30Z</dcterms:modified>
</cp:coreProperties>
</file>