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both"/>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FORM 6-K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FOREIGN PRIVATE ISSUER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13a-16 or 15d-16</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Month of: July 2026</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001-40207</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Waldencast plc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(Translation of Registrant’s name into English)</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81 Fulham Road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London, SW3 6RD</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United Kingdom</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lineRule="auto" w:line="268" w:before="0" w:after="0"/>
        <w:jc w:val="center"/>
        <w:rPr>
          <w:color w:val="000000"/>
        </w:rPr>
      </w:pPr>
      <w:r>
        <w:rPr>
          <w:color w:val="000000"/>
        </w:rPr>
        <w:t xml:space="preserve">☒ </w:t>
      </w:r>
      <w:r>
        <w:rPr>
          <w:rFonts w:ascii="Times New Roman;serif" w:hAnsi="Times New Roman;serif"/>
          <w:b w:val="false"/>
          <w:color w:val="000000"/>
          <w:sz w:val="20"/>
        </w:rPr>
        <w:t>Form 20-F ☐ Form 40-F</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on Form 6-K includes the unaudited pro forma condensed consolidated financial statements as of December 31, 2025, and for the years ended December 31, 2025, 2024, and 2023 for Waldencast plc (the “Company”). The financials are included as Exhibit 99.1 to this report on Form 6-K.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on Form 6-K (including exhibits thereto) shall be incorporated by reference into any registration statement filed by the Company with the Securities and Exchange Commission (the “SEC”) that by its terms automatically incorporates the Company’s filings and submissions with the SEC under Sections 13(a), 13(c) or 15(d) of the Securities Exchange Act of 1934, including the registration statements on Form S-8 (File No. 333-268108), Form F-3 (File No. 333-291938) and Form F-3 (File No. 333-280502) of Waldencast plc and to be a part thereof from the date on which this report is filed, to the extent not superseded by documents or reports subsequently filed or furnished.</w:t>
      </w:r>
    </w:p>
    <w:p>
      <w:pPr>
        <w:pStyle w:val="TextBody"/>
        <w:bidi w:val="0"/>
        <w:spacing w:lineRule="auto" w:line="276" w:before="240" w:after="24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76" w:before="240" w:after="240"/>
        <w:jc w:val="both"/>
        <w:rPr>
          <w:rFonts w:ascii="Times New Roman;serif" w:hAnsi="Times New Roman;serif"/>
          <w:b w:val="false"/>
          <w:color w:val="000000"/>
          <w:sz w:val="20"/>
        </w:rPr>
      </w:pPr>
      <w:r>
        <w:rPr>
          <w:rFonts w:ascii="Times New Roman;serif" w:hAnsi="Times New Roman;serif"/>
          <w:b w:val="false"/>
          <w:color w:val="000000"/>
          <w:sz w:val="20"/>
        </w:rPr>
        <w:t>Statements in this report that are not historical, are forward-looking statements made pursuant to the safe harbor provisions of the Private Securities Litigation Reform Act of 1995. Such statements include, but are not limited to, statements regarding the intended benefits of the transaction and future strategies that may be pursued by the Company. These forward-looking statements generally are identified by the words “intends,” “may,” “will,” “would,” “future”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Company that could cause actual results or outcomes to differ materially from those discussed in the forward-looking statements.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Important factors, among others, that may affect actual results or outcomes include, but are not limited to: (1) the inability to realize the anticipated benefits of the transaction on the expected timeline, if at all; (2) the total consideration payable in connection with the transaction may be reduced due to the Vendor Notes, the earnout not being achieved and other factors relating to the transaction; (3) the potential inability of the Company to effectively manage operations, retain key clients or maintain existing levels of performance in their absence; (4) the general impact of geopolitical events, including the impact of current wars, conflicts and other hostilities; (5) the overall economic and market conditions and other information about the Company’s possible or assumed future results of operations or performance; (6) changes in general economic conditions; (7) the impact of any international trade or foreign exchange restrictions, the imposition of new or increased tariffs, foreign currency exchange fluctuations; and (8) the ability to implement the Company’s strategic initiatives and continue to innovate its existing products and anticipate and respond to market trends and changes in consumer preferences. The foregoing list of factors is not exhaustive. You should carefully consider the foregoing factors and the other risks and uncertainties described in the “Risk Factors” section of the Company’s Annual Report on Form 20-F for the year ended December 31, 2025, filed with the SEC on March 13, 2026, or in other documents that may be filed or furnished by the Company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the Company assumes no obligation and does not intend to update or revise these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97"/>
        <w:gridCol w:w="348"/>
        <w:gridCol w:w="349"/>
        <w:gridCol w:w="109"/>
        <w:gridCol w:w="109"/>
        <w:gridCol w:w="109"/>
        <w:gridCol w:w="2573"/>
        <w:gridCol w:w="2573"/>
        <w:gridCol w:w="3638"/>
      </w:tblGrid>
      <w:tr>
        <w:trPr/>
        <w:tc>
          <w:tcPr>
            <w:tcW w:w="39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38" w:type="dxa"/>
            <w:tcBorders/>
            <w:vAlign w:val="center"/>
          </w:tcPr>
          <w:p>
            <w:pPr>
              <w:pStyle w:val="TableContents"/>
              <w:bidi w:val="0"/>
              <w:spacing w:before="0" w:after="283"/>
              <w:jc w:val="left"/>
              <w:rPr>
                <w:sz w:val="4"/>
                <w:szCs w:val="4"/>
              </w:rPr>
            </w:pPr>
            <w:r>
              <w:rPr>
                <w:sz w:val="4"/>
                <w:szCs w:val="4"/>
              </w:rPr>
            </w:r>
          </w:p>
        </w:tc>
      </w:tr>
      <w:tr>
        <w:trPr/>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9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76" w:before="0" w:after="0"/>
              <w:jc w:val="both"/>
              <w:rPr/>
            </w:pPr>
            <w:hyperlink w:anchor="proforma.htm">
              <w:r>
                <w:rPr>
                  <w:rStyle w:val="InternetLink"/>
                  <w:rFonts w:ascii="Times New Roman;serif" w:hAnsi="Times New Roman;serif"/>
                  <w:b w:val="false"/>
                  <w:color w:val="0000FF"/>
                  <w:sz w:val="20"/>
                  <w:u w:val="single"/>
                </w:rPr>
                <w:t>Waldencast plc Unaudited Pro Forma Condensed Consolidated Financial Statements as of December 31, 2025, and for the years ended December 31, 2025, 2024, and 2023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6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7501"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281"/>
        <w:gridCol w:w="281"/>
        <w:gridCol w:w="281"/>
        <w:gridCol w:w="1317"/>
        <w:gridCol w:w="1317"/>
        <w:gridCol w:w="191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Waldencast plc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88"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 Manuel Manfredi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Name:</w:t>
            </w:r>
          </w:p>
        </w:tc>
        <w:tc>
          <w:tcPr>
            <w:tcW w:w="4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Manuel Manfredi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454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Chief Financial Officer and 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WALDENCAST PLC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UNAUDITED PRO FORMA CONDENSED CONSOLIDATED FINANCIAL INFORMATION</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On July 30, 2026, Waldencast plc, a public limited company incorporated under the laws of the Bailiwick of Jersey (“Waldencast”, the “Company” or the “Parent”), completed the previously announced sale of its Obagi Medical dermatological skincare and aesthetics business (“Obagi Medical”, “Obagi” or the “Business”). The sale of Obagi Medical is referred to herein as the “Sale”.</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Sale was completed pursuant to the Purchase and Sale Agreement and Agreement and Plan of Merger (the “Purchase and Sale Agreement” or the “Agreement”), by and among Waldencast, Obagi Holdings Company Ltd. (the “Seller”), Obagi Cosmeceuticals LLC, Obagi Netherlands B.V. and Obagi AsiaPac Limited (collectively, the “Companies”), Waypoint Bidco, LLC (the “Purchaser”), Waypoint Merger Sub I, LLC (“Merger Sub I”), Waypoint Merger Sub II, LLC (“Merger Sub II”) and Gore Range Capital Fund III LLC (the “Purchaser Co-Investor”). The transactions contemplated by the Agreement are referred to herein as the “Transaction”.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the unaudited pro forma consolidated financial information, the "Transferred Group" refers to the Obagi Medical in its entirety, comprising (i) the Companies and their subsidiaries transferred to, or acquired by, the Purchaser pursuant to the Agreement, and (ii) the remaining Obagi entities retained by Waldencast that are expected to be dissolved.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Purchaser acquired Obagi Medical for total consideration comprising: (i) up to $366.0 million of cash consideration, subject to certain customary adjustments; (ii) a fixed vendor note in the principal amount of $10.0 million (the “Fixed Vendor Note”) and an adjustable vendor note in the principal amount of $20.0 million (the “Adjustable Vendor Note”) (together the “Vendor Notes”); and (iii) contingent consideration in the form of an earnout of up to $64.0 million in aggregate (the “Earnout Consideration”). The Earnout Consideration is payable only upon the achievement of specified post-closing revenue milestones and comprises (i) up to $10.0 million based on non-injectables revenue for fiscal year 2026 (the “2026 Earnout Consideration”) and (ii) up to $54.0 million based on injectables revenue for fiscal year 2027 (the “2027 Earnout Consideration”).</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Waldencast will not retain the equity interests in the Transferred Group (other than for the remaining Obagi entities retained by the Company that are expected to be dissolved). Waldencast is not expected to have significant continuing involvement with the Business, other than through the transition services agreement (the “TSA”) entered into at the consummation of the Sale (the “Closing”). The TSA is transitional and time-limited in nature and is not expected to represent significant continuing involvement by Waldencast in the Transferred Group.</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adjustments included in the “Transferred Group” columns of the unaudited pro forma condensed consolidated financial statements are presented in accordance with Financial Accounting Standards Board Accounting Standards Codification (“ASC”) 205-20, Presentation of Financial Statements - Discontinued Operations (“ASC 205”), under accounting principles generally accepted in the United States of America (“U.S. GAAP”). The Sale is treated as a significant disposition of a business for purposes of Rule 11-01(a)(4) of Regulation S-X. Accordingly, the accompanying unaudited pro forma condensed consolidated financial information has been prepared to give effect to the Transferred Group and the related transaction accounting adjustments in accordance with Article 11 of Regulation S-X. The unaudited pro forma condensed consolidated financial information has been derived from the Company’s historical consolidated financial statements prepared in accordance with accounting principles generally accepted in the United States (“U.S. GAAP”) and adjusted to reflect the estimated effects of the Transaction.</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consolidated balance sheet as of December 31, 2025, gives effect to the Transferred Group as if the Sale had occurred on December 31, 2025. The unaudited pro forma condensed consolidated statements of operations for the years ended December 31, 2025, 2024 and 2023 give effect to the Transferred Group as if the Sale had occurred on January 1, 2023, the beginning of the earliest period presented. The transaction accounting adjustments reflected in the unaudited pro forma condensed consolidated statements of operations include only those adjustments that are directly attributable to the Sale, factually supportable and expected to have a continuing impact on the Company's results of operations. Accordingly, non-recurring items, including the gain or loss on disposal and transaction costs that are not expected to have a continuing impact, have not been reflected in the unaudited pro forma condensed consolidated statements of operations.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information is presented for informational purposes only and is not necessarily indicative of the Company’s financial position or results of operations had the Sale occurred on the dates assumed, nor is it indicative of future results. Actual results may differ materially from the amounts reflected herein.</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condensed consolidated financial statements should be read in connection with:</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the accompanying notes to the unaudited pro forma condensed consolidated financial statements; and</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the historical audited consolidated financial statements and accompanying notes of the Company included in its Annual Report on Form 20-F for the year ended December 31, 2025, filed with the U.S. Securities and Exchange Commission (the “SEC”) on March 13, 2026.</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information reflects pro forma accounting adjustments prepared using the assumptions set forth in the related notes, which represent preliminary estimates of the transaction accounting adjustments. The Company has elected not to present any management adjustments to reflect any potential synergies or dis-synergies that may arise from, or in connection with, the Transferred Group.</w:t>
      </w:r>
    </w:p>
    <w:p>
      <w:pPr>
        <w:pStyle w:val="TextBody"/>
        <w:bidi w:val="0"/>
        <w:spacing w:lineRule="auto" w:line="288" w:before="240" w:after="240"/>
        <w:jc w:val="both"/>
        <w:rPr>
          <w:rFonts w:ascii="Times New Roman;serif" w:hAnsi="Times New Roman;serif"/>
          <w:b/>
          <w:i/>
          <w:color w:val="000000"/>
          <w:sz w:val="20"/>
        </w:rPr>
      </w:pPr>
      <w:r>
        <w:rPr>
          <w:rFonts w:ascii="Times New Roman;serif" w:hAnsi="Times New Roman;serif"/>
          <w:b/>
          <w:i/>
          <w:color w:val="000000"/>
          <w:sz w:val="20"/>
        </w:rPr>
        <w:t>Future of Waldencast PLC Post-Sale</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Closing, Waldencast is expected to operate as the parent company of Milk Makeup, the clean prestige beauty brand born from the creative community of Milk Studios in downtown New York City. Founded in 2016, Milk Makeup is built on the values of self-expression and inclusion, captured by its signature “Live Your Look”, and creates vegan, cruelty-free, clean formulas across a portfolio of hero franchises. Milk Makeup is available through milkmakeup.com and retail partners including Sephora, Ulta Beauty and Amazon Premium Beauty in the U.S., and select retailers internationally.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In addition, effective at the Closing, Michel Brousset, Chief Executive Officer and director of the Company (the “Board”), Hind Sebti, Chief Growth Officer and director of the Company, and Manuel Manfredi, Chief Financial Officer of the Company, transitioned from the Company to lead Obagi Medical. Following the Closing, Mr. Brousset, Ms. Sebti and Mr. Manfredi will provide services to the Company during a transitional period. Effective at the close of business on the Closing Date, Felipe Dutra, Chairman of the Board, as Executive Chairman, he will serve as the Company’s principal executive officer and principal financial officer.</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Waldencast used a portion of the net proceeds from the Sale to fully repay its outstanding senior term loan facility at Closing and will continue investing in Milk Makeup. Except for the repayment of debt and other Transaction-related adjustments reflected in the unaudited pro forma condensed consolidated financial information, no effect has been given to any additional use of proceeds, capital structure actions, strategic alternatives or other post-Closing actions, which may in future be approved by the board of directors of Waldencast.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 xml:space="preserve">WALDENCAST PLC </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UNAUDITED PRO FORMA CONDENSED CONSOLIDATED BALANCE SHEET</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AS OF DECEMBER 31, 2025</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(In thousands of U.S. dollars, except share and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20"/>
        <w:gridCol w:w="839"/>
        <w:gridCol w:w="841"/>
        <w:gridCol w:w="242"/>
        <w:gridCol w:w="242"/>
        <w:gridCol w:w="242"/>
        <w:gridCol w:w="358"/>
        <w:gridCol w:w="306"/>
        <w:gridCol w:w="243"/>
        <w:gridCol w:w="109"/>
        <w:gridCol w:w="109"/>
        <w:gridCol w:w="109"/>
        <w:gridCol w:w="308"/>
        <w:gridCol w:w="205"/>
        <w:gridCol w:w="186"/>
        <w:gridCol w:w="379"/>
        <w:gridCol w:w="281"/>
        <w:gridCol w:w="188"/>
        <w:gridCol w:w="109"/>
        <w:gridCol w:w="109"/>
        <w:gridCol w:w="109"/>
        <w:gridCol w:w="306"/>
        <w:gridCol w:w="306"/>
        <w:gridCol w:w="306"/>
        <w:gridCol w:w="384"/>
        <w:gridCol w:w="345"/>
        <w:gridCol w:w="308"/>
        <w:gridCol w:w="140"/>
        <w:gridCol w:w="140"/>
        <w:gridCol w:w="140"/>
        <w:gridCol w:w="117"/>
        <w:gridCol w:w="117"/>
        <w:gridCol w:w="117"/>
        <w:gridCol w:w="333"/>
        <w:gridCol w:w="333"/>
        <w:gridCol w:w="179"/>
      </w:tblGrid>
      <w:tr>
        <w:trPr/>
        <w:tc>
          <w:tcPr>
            <w:tcW w:w="112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Waldencast Plc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Transferred Group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Transaction Accounting Adjustments</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Pro Forma</w:t>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CURRENT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30,379 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051" w:type="dxa"/>
            <w:gridSpan w:val="4"/>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(25,406)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138,459 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[b,c,d]</w:t>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143,432 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1,513 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(652)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3,000 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3,861 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28,014 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(9,619)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18,395 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Related party accounts receivable</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1,220 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(1,202)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Inventories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54,609 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(23,442)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31,167 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Prepaid expenses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6,397 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(4,165)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2,232 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Other current 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4,811 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4,804 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9,522 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current assets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126,943</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(64,579)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146,263</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208,627</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Property, plant and equipment, net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6,240 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(1,425)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4,815 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Intangible assets, net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427,098 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(323,411)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103,687 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177,571 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(62,459)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115,112 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Right of use assets, net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7,735 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(2,310)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5,425 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Other non-current 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574 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(335)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37,859 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[b]</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38,098 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ASSETS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746,161</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(454,519)</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184,122</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475,764</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 xml:space="preserve">LIABILITIES AND STOCKHOLDERS’ EQUITY </w:t>
            </w:r>
          </w:p>
        </w:tc>
        <w:tc>
          <w:tcPr>
            <w:tcW w:w="726"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CURRENT 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19,465 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(7,069)</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682 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[c]</w:t>
            </w:r>
          </w:p>
        </w:tc>
        <w:tc>
          <w:tcPr>
            <w:tcW w:w="351"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13,078 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Related party accounts payable</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Current portion of lease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2,111 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(1,041)</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1,070 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Current portion of long-term debt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771 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771 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Embedded derivative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11,833 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(11,833)</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Other current 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40,367 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(23,688)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17,536 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34,215 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current liabilities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74,547</w:t>
            </w: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(31,798)</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6,385</w:t>
            </w: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49,134</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Long-term debt, net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135,752 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(135,752)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[d]</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Derivative warrant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1,181 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1,181 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Long-term lease 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10,377 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(4,663)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5,714 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Deferred income tax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3,082 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(3,082)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Contingent consideration 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21,020 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(21,020)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Other non-current liabilities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104 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(103)</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401 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LIABILITIES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246,063</w:t>
            </w: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(60,666)</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(128,966)</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56,431</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color w:val="000000"/>
              </w:rPr>
            </w:pPr>
            <w:r>
              <w:rPr>
                <w:color w:val="000000"/>
              </w:rPr>
              <w:t> </w:t>
            </w:r>
            <w:r>
              <w:rPr>
                <w:rFonts w:ascii="Times New Roman;serif" w:hAnsi="Times New Roman;serif"/>
                <w:b w:val="false"/>
                <w:color w:val="000000"/>
                <w:sz w:val="14"/>
              </w:rPr>
              <w:t>COMMITMENTS AND CONTINGENCIES</w:t>
            </w:r>
          </w:p>
        </w:tc>
        <w:tc>
          <w:tcPr>
            <w:tcW w:w="726"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STOCKHOLDERS’ EQUITY:</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Preferred shares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Class A ordinary shares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Class B ordinary shares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0"/>
              <w:ind w:left="0" w:right="0" w:firstLine="140"/>
              <w:jc w:val="left"/>
              <w:rPr/>
            </w:pPr>
            <w:r>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981,197 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(393,853)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392,430 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[f]</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979,774 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Retained earnings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(518,953)</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(48,568)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[h]</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(567,521)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40"/>
              <w:jc w:val="left"/>
              <w:rPr>
                <w:rFonts w:ascii="Times New Roman;serif" w:hAnsi="Times New Roman;serif"/>
                <w:b w:val="false"/>
                <w:color w:val="000000"/>
                <w:sz w:val="14"/>
              </w:rPr>
            </w:pPr>
            <w:r>
              <w:rPr>
                <w:rFonts w:ascii="Times New Roman;serif" w:hAnsi="Times New Roman;serif"/>
                <w:b w:val="false"/>
                <w:color w:val="000000"/>
                <w:sz w:val="14"/>
              </w:rPr>
              <w:t>Accumulated other comprehensive income (loss)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(378)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(378)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CONTROLLING STOCKHOLDERS’ EQUITY</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461,879</w:t>
            </w: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(393,853)</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343,862</w:t>
            </w: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411,888</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38,219 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(30,774)</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[g]</w:t>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7,445 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STOCKHOLDERS’ EQUITY</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500,098</w:t>
            </w:r>
            <w:r>
              <w:rPr>
                <w:color w:val="000000"/>
              </w:rPr>
              <w:t>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(393,853)</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313,088</w:t>
            </w: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419,333</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LIABILITIES AND STOCKHOLDERS’ EQUITY</w:t>
            </w:r>
          </w:p>
        </w:tc>
        <w:tc>
          <w:tcPr>
            <w:tcW w:w="726"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64"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746,161</w:t>
            </w:r>
            <w:r>
              <w:rPr>
                <w:color w:val="000000"/>
              </w:rPr>
              <w:t> </w:t>
            </w:r>
          </w:p>
        </w:tc>
        <w:tc>
          <w:tcPr>
            <w:tcW w:w="243"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60"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(454,519)</w:t>
            </w:r>
          </w:p>
        </w:tc>
        <w:tc>
          <w:tcPr>
            <w:tcW w:w="188"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 xml:space="preserve">$ </w:t>
            </w:r>
          </w:p>
        </w:tc>
        <w:tc>
          <w:tcPr>
            <w:tcW w:w="729"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184,122</w:t>
            </w:r>
            <w:r>
              <w:rPr>
                <w:color w:val="000000"/>
              </w:rPr>
              <w:t> </w:t>
            </w:r>
          </w:p>
        </w:tc>
        <w:tc>
          <w:tcPr>
            <w:tcW w:w="308"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 xml:space="preserve">$ </w:t>
            </w:r>
          </w:p>
        </w:tc>
        <w:tc>
          <w:tcPr>
            <w:tcW w:w="666"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475,764</w:t>
            </w:r>
            <w:r>
              <w:rPr>
                <w:color w:val="000000"/>
              </w:rPr>
              <w:t> </w:t>
            </w:r>
          </w:p>
        </w:tc>
        <w:tc>
          <w:tcPr>
            <w:tcW w:w="179"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pro forma condensed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 xml:space="preserve">WALDENCAST PLC </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UNAUDITED PRO FORMA CONDENSED CONSOLIDATED STATEMENT OF OPERATIONS</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FOR THE YEAR ENDED DECEMBER 31, 2025</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(In thousands of U.S. dollars, except share and per share data)</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6"/>
        <w:gridCol w:w="993"/>
        <w:gridCol w:w="921"/>
        <w:gridCol w:w="306"/>
        <w:gridCol w:w="183"/>
        <w:gridCol w:w="183"/>
        <w:gridCol w:w="435"/>
        <w:gridCol w:w="436"/>
        <w:gridCol w:w="189"/>
        <w:gridCol w:w="109"/>
        <w:gridCol w:w="109"/>
        <w:gridCol w:w="109"/>
        <w:gridCol w:w="179"/>
        <w:gridCol w:w="179"/>
        <w:gridCol w:w="179"/>
        <w:gridCol w:w="333"/>
        <w:gridCol w:w="325"/>
        <w:gridCol w:w="184"/>
        <w:gridCol w:w="109"/>
        <w:gridCol w:w="109"/>
        <w:gridCol w:w="109"/>
        <w:gridCol w:w="248"/>
        <w:gridCol w:w="248"/>
        <w:gridCol w:w="248"/>
        <w:gridCol w:w="368"/>
        <w:gridCol w:w="248"/>
        <w:gridCol w:w="249"/>
        <w:gridCol w:w="109"/>
        <w:gridCol w:w="109"/>
        <w:gridCol w:w="109"/>
        <w:gridCol w:w="114"/>
        <w:gridCol w:w="114"/>
        <w:gridCol w:w="114"/>
        <w:gridCol w:w="435"/>
        <w:gridCol w:w="436"/>
        <w:gridCol w:w="171"/>
      </w:tblGrid>
      <w:tr>
        <w:trPr/>
        <w:tc>
          <w:tcPr>
            <w:tcW w:w="1206"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Waldencast Plc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Transferred Group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Pro Forma</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revenue</w:t>
            </w:r>
          </w:p>
        </w:tc>
        <w:tc>
          <w:tcPr>
            <w:tcW w:w="6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272,071</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(161,627)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110,444</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Cost of goods sold</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89,053 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(50,100)</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38,953 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Gross profit</w:t>
            </w:r>
          </w:p>
        </w:tc>
        <w:tc>
          <w:tcPr>
            <w:tcW w:w="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183,018</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(111,527)</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71,491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Selling, general and administrative</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247,984 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(135,801)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220 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[j]</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112,403 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Loss on impairment of goodwill</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152,018 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(132,058)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19,960 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Gain on sale of trademark</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(5,679)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5,679 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Loss on acquisition</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6,233 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(6,233)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operating expenses</w:t>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400,556</w:t>
            </w:r>
            <w:r>
              <w:rPr>
                <w:color w:val="000000"/>
              </w:rPr>
              <w:t>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(268,413)</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220</w:t>
            </w: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132,363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Operating income (loss)</w:t>
            </w:r>
          </w:p>
        </w:tc>
        <w:tc>
          <w:tcPr>
            <w:tcW w:w="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(217,538)</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156,886</w:t>
            </w: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(220)</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(60,872)</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Interest expense, net</w:t>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25,094 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(3,472)</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(1,474)</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[k]</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20,148 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Loss on extinguishment of debt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24,398 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24,398 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Change in fair value of derivatives liabilities</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(3,695)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(144)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(3,839)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Change in contingent consideration liabilities</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(861)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861 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(229)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769 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540 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other expenses (income) net</w:t>
            </w:r>
          </w:p>
        </w:tc>
        <w:tc>
          <w:tcPr>
            <w:tcW w:w="6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44,707</w:t>
            </w:r>
            <w:r>
              <w:rPr>
                <w:color w:val="000000"/>
              </w:rPr>
              <w:t>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(1,986)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(1,474)</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41,247</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Income (loss) before income taxes</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(262,245)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158,872</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1,254</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(102,119)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Income tax expense (benefit)</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(14,189)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14,240 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income (loss) from continuing operations</w:t>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(248,056)</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144,632</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1,254</w:t>
            </w: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(102,170)</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Net income (loss) from continuing operations attributable to noncontrolling interests</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(18,307)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22,223 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3,916 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income (loss) from continuing operations attributable to Class A shareholders</w:t>
            </w:r>
          </w:p>
        </w:tc>
        <w:tc>
          <w:tcPr>
            <w:tcW w:w="6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(229,749)</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122,409</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1,254</w:t>
            </w: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(106,086)</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Net income (loss) per share from continuing operations attributable Class A shareholders:</w:t>
            </w:r>
          </w:p>
        </w:tc>
        <w:tc>
          <w:tcPr>
            <w:tcW w:w="672"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Basic and Diluted</w:t>
            </w:r>
          </w:p>
        </w:tc>
        <w:tc>
          <w:tcPr>
            <w:tcW w:w="30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1237" w:type="dxa"/>
            <w:gridSpan w:val="4"/>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(0.93)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Shares used in computing net income (loss) per share from continuing operations:</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Basic and Diluted</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114,070,225 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114,070,225 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income (loss) from continuing operations</w:t>
            </w:r>
          </w:p>
        </w:tc>
        <w:tc>
          <w:tcPr>
            <w:tcW w:w="67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(248,056)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5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144,632</w:t>
            </w: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1,254</w:t>
            </w: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(102,170)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 foreign currency translation adjustments, net of tax</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(684)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(701)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Comprehensive income (loss) from continuing operations</w:t>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(248,740)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144,615</w:t>
            </w: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1,254</w:t>
            </w:r>
            <w:r>
              <w:rPr>
                <w:color w:val="000000"/>
              </w:rPr>
              <w:t>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(102,871)</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Comprehensive income (loss) attributable to noncontrolling interests from continuing operations</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(18,357)</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22,224 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3,867 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Comprehensive income (loss) attributable from continuing operations to Class A shareholders</w:t>
            </w:r>
          </w:p>
        </w:tc>
        <w:tc>
          <w:tcPr>
            <w:tcW w:w="672"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(230,383)</w:t>
            </w:r>
          </w:p>
        </w:tc>
        <w:tc>
          <w:tcPr>
            <w:tcW w:w="189"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58"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122,391</w:t>
            </w:r>
            <w:r>
              <w:rPr>
                <w:color w:val="000000"/>
              </w:rPr>
              <w:t> </w:t>
            </w:r>
          </w:p>
        </w:tc>
        <w:tc>
          <w:tcPr>
            <w:tcW w:w="184"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16"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1,254</w:t>
            </w:r>
            <w:r>
              <w:rPr>
                <w:color w:val="000000"/>
              </w:rPr>
              <w:t> </w:t>
            </w:r>
          </w:p>
        </w:tc>
        <w:tc>
          <w:tcPr>
            <w:tcW w:w="249"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(106,738)</w:t>
            </w:r>
          </w:p>
        </w:tc>
        <w:tc>
          <w:tcPr>
            <w:tcW w:w="171"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pro forma condensed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 xml:space="preserve">WALDENCAST PLC </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UNAUDITED PRO FORMA CONDENSED CONSOLIDATED STATEMENT OF OPERATIONS</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FOR THE YEAR ENDED DECEMBER 31, 2024</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(In thousands of U.S. dollars, except share and per share data)</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17"/>
        <w:gridCol w:w="1003"/>
        <w:gridCol w:w="933"/>
        <w:gridCol w:w="205"/>
        <w:gridCol w:w="205"/>
        <w:gridCol w:w="205"/>
        <w:gridCol w:w="435"/>
        <w:gridCol w:w="436"/>
        <w:gridCol w:w="207"/>
        <w:gridCol w:w="109"/>
        <w:gridCol w:w="109"/>
        <w:gridCol w:w="109"/>
        <w:gridCol w:w="180"/>
        <w:gridCol w:w="180"/>
        <w:gridCol w:w="180"/>
        <w:gridCol w:w="324"/>
        <w:gridCol w:w="325"/>
        <w:gridCol w:w="185"/>
        <w:gridCol w:w="109"/>
        <w:gridCol w:w="109"/>
        <w:gridCol w:w="109"/>
        <w:gridCol w:w="249"/>
        <w:gridCol w:w="249"/>
        <w:gridCol w:w="249"/>
        <w:gridCol w:w="319"/>
        <w:gridCol w:w="249"/>
        <w:gridCol w:w="251"/>
        <w:gridCol w:w="109"/>
        <w:gridCol w:w="109"/>
        <w:gridCol w:w="109"/>
        <w:gridCol w:w="181"/>
        <w:gridCol w:w="109"/>
        <w:gridCol w:w="109"/>
        <w:gridCol w:w="435"/>
        <w:gridCol w:w="436"/>
        <w:gridCol w:w="168"/>
      </w:tblGrid>
      <w:tr>
        <w:trPr/>
        <w:tc>
          <w:tcPr>
            <w:tcW w:w="121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Waldencast Plc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Transferred Group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Pro Forma</w:t>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revenue</w:t>
            </w:r>
          </w:p>
        </w:tc>
        <w:tc>
          <w:tcPr>
            <w:tcW w:w="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273,868</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(149,266)</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124,602</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Cost of goods sold</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82,124 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(42,506)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39,618 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Gross profit</w:t>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191,744</w:t>
            </w:r>
            <w:r>
              <w:rPr>
                <w:color w:val="000000"/>
              </w:rPr>
              <w:t>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(106,760)</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84,984</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Selling, general and administrative</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245,297 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(125,473)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119,824 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Loss on impairment of goodwill</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5,031 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(5,031)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operating expenses</w:t>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250,328</w:t>
            </w: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(130,504)</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119,824</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Operating income (loss)</w:t>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(58,584)</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23,744</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(34,840)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Interest expense, net</w:t>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17,155 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17,158 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Change in fair value of derivatives liabilities</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(23,627)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(23,627)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(3,574)</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4,143 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569 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other expenses (income) net</w:t>
            </w:r>
          </w:p>
        </w:tc>
        <w:tc>
          <w:tcPr>
            <w:tcW w:w="6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(10,046)</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4,146</w:t>
            </w: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(5,900)</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Income (loss) before income taxes</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(48,538)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19,598</w:t>
            </w: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(28,940)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Income tax expense (benefit)</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141 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income (loss) from continuing operations</w:t>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(48,648)</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19,457</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(29,191)</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Net income (loss) from continuing operations attributable to noncontrolling interests</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(6,205)</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2,104 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(4,101)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income (loss) from continuing operations attributable to Class A shareholders</w:t>
            </w:r>
          </w:p>
        </w:tc>
        <w:tc>
          <w:tcPr>
            <w:tcW w:w="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(42,443)</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17,353</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(25,090)</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Net income (loss) per share from continuing operations attributable Class A shareholders:</w:t>
            </w:r>
          </w:p>
        </w:tc>
        <w:tc>
          <w:tcPr>
            <w:tcW w:w="615"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Basic and Diluted</w:t>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(0.39)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(0.23)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Shares used in computing net income (loss) per share from continuing operations:</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Basic and Diluted</w:t>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109,295,742 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109,295,742 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income (loss) from continuing operations</w:t>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(48,648)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19,457</w:t>
            </w: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w:t>
            </w:r>
          </w:p>
        </w:tc>
        <w:tc>
          <w:tcPr>
            <w:tcW w:w="1089" w:type="dxa"/>
            <w:gridSpan w:val="4"/>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(29,191)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 foreign currency translation adjustments, net of tax</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450 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303 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753</w:t>
            </w: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Comprehensive income (loss) from continuing operations</w:t>
            </w:r>
          </w:p>
        </w:tc>
        <w:tc>
          <w:tcPr>
            <w:tcW w:w="6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(48,198)</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19,760</w:t>
            </w:r>
            <w:r>
              <w:rPr>
                <w:color w:val="000000"/>
              </w:rPr>
              <w:t>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(28,438)</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Comprehensive income (loss) attributable to noncontrolling interests from continuing operations</w:t>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(6,148)</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2,078 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(4,070)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3"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Comprehensive income (loss) attributable from continuing operations to Class A shareholders</w:t>
            </w:r>
          </w:p>
        </w:tc>
        <w:tc>
          <w:tcPr>
            <w:tcW w:w="615"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(42,050)</w:t>
            </w:r>
          </w:p>
        </w:tc>
        <w:tc>
          <w:tcPr>
            <w:tcW w:w="207"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49"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17,682</w:t>
            </w:r>
            <w:r>
              <w:rPr>
                <w:color w:val="000000"/>
              </w:rPr>
              <w:t> </w:t>
            </w:r>
          </w:p>
        </w:tc>
        <w:tc>
          <w:tcPr>
            <w:tcW w:w="185"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568"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color w:val="000000"/>
              </w:rPr>
            </w:pPr>
            <w:r>
              <w:rPr>
                <w:color w:val="000000"/>
              </w:rPr>
              <w:t>— </w:t>
            </w:r>
          </w:p>
        </w:tc>
        <w:tc>
          <w:tcPr>
            <w:tcW w:w="251"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871" w:type="dxa"/>
            <w:gridSpan w:val="2"/>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(24,368)</w:t>
            </w:r>
          </w:p>
        </w:tc>
        <w:tc>
          <w:tcPr>
            <w:tcW w:w="168" w:type="dxa"/>
            <w:tcBorders>
              <w:top w:val="single" w:sz="8"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pro forma condensed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 xml:space="preserve">WALDENCAST PLC </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UNAUDITED PRO FORMA CONDENSED CONSOLIDATED STATEMENT OF OPERATIONS</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FOR THE YEAR ENDED DECEMBER 31, 2023</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(In thousands of U.S. dollars, except share and per share data)</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61"/>
        <w:gridCol w:w="1044"/>
        <w:gridCol w:w="979"/>
        <w:gridCol w:w="210"/>
        <w:gridCol w:w="210"/>
        <w:gridCol w:w="210"/>
        <w:gridCol w:w="398"/>
        <w:gridCol w:w="398"/>
        <w:gridCol w:w="211"/>
        <w:gridCol w:w="109"/>
        <w:gridCol w:w="109"/>
        <w:gridCol w:w="109"/>
        <w:gridCol w:w="183"/>
        <w:gridCol w:w="183"/>
        <w:gridCol w:w="183"/>
        <w:gridCol w:w="325"/>
        <w:gridCol w:w="326"/>
        <w:gridCol w:w="188"/>
        <w:gridCol w:w="109"/>
        <w:gridCol w:w="109"/>
        <w:gridCol w:w="109"/>
        <w:gridCol w:w="256"/>
        <w:gridCol w:w="256"/>
        <w:gridCol w:w="256"/>
        <w:gridCol w:w="322"/>
        <w:gridCol w:w="256"/>
        <w:gridCol w:w="258"/>
        <w:gridCol w:w="109"/>
        <w:gridCol w:w="109"/>
        <w:gridCol w:w="109"/>
        <w:gridCol w:w="114"/>
        <w:gridCol w:w="114"/>
        <w:gridCol w:w="114"/>
        <w:gridCol w:w="398"/>
        <w:gridCol w:w="398"/>
        <w:gridCol w:w="173"/>
      </w:tblGrid>
      <w:tr>
        <w:trPr/>
        <w:tc>
          <w:tcPr>
            <w:tcW w:w="1261"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Waldencast Plc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Transferred Group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Pro Forma</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revenue</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218,138</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(117,651)</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100,487</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Cost of goods sold</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76,561 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(41,069)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35,492 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Gross profit</w:t>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141,577</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(76,582)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64,995</w:t>
            </w:r>
            <w:r>
              <w:rPr>
                <w:color w:val="000000"/>
              </w:rPr>
              <w:t>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Selling, general and administrative</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223,508 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(104,095)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119,413 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Loss on impairment of goodwill</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operating expenses</w:t>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223,508</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(104,095)</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119,413</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Operating income (loss)</w:t>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(81,931)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27,513</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(54,418)</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Interest expense, net</w:t>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18,906 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18,906 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Effect from disposal</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Change in fair value of derivatives liabilities</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10,337 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10,337 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Other (income) expense, net</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1,769 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1,673 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3,442 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Total other expenses (income) net</w:t>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31,012</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1,673</w:t>
            </w:r>
            <w:r>
              <w:rPr>
                <w:color w:val="000000"/>
              </w:rPr>
              <w:t>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32,685</w:t>
            </w: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Loss before income taxes</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(112,943)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25,840</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(87,103)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Income tax expense (benefit)</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(6,975)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6,998 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income (loss) from continuing operations</w:t>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(105,968)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18,842</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(87,126)</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Net loss attributable to noncontrolling interests</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(15,987)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3,596 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(12,391)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income (loss) from continuing operations attributable to Class A shareholders</w:t>
            </w:r>
          </w:p>
        </w:tc>
        <w:tc>
          <w:tcPr>
            <w:tcW w:w="6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(89,981)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15,246</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(74,735)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Net income (loss) per share from continuing operations attributable Class A shareholders:</w:t>
            </w:r>
          </w:p>
        </w:tc>
        <w:tc>
          <w:tcPr>
            <w:tcW w:w="63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Basic and Diluted</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(0.99)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(0.82)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Shares used in computing net income (loss) per share from continuing operations:</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Basic and Diluted</w:t>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91,158,500 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91,158,500 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Net income (loss) from continuing operations</w:t>
            </w:r>
          </w:p>
        </w:tc>
        <w:tc>
          <w:tcPr>
            <w:tcW w:w="63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(105,968)</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18,842</w:t>
            </w: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(87,126)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 - foreign currency translation adjustments, net of tax</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(25)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(172)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Comprehensive income (loss) from continuing operations</w:t>
            </w:r>
          </w:p>
        </w:tc>
        <w:tc>
          <w:tcPr>
            <w:tcW w:w="6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(106,115)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18,817</w:t>
            </w: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(87,298)</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4"/>
              </w:rPr>
            </w:pPr>
            <w:r>
              <w:rPr>
                <w:rFonts w:ascii="Times New Roman;serif" w:hAnsi="Times New Roman;serif"/>
                <w:b w:val="false"/>
                <w:color w:val="000000"/>
                <w:sz w:val="14"/>
              </w:rPr>
              <w:t>Comprehensive income (loss) attributable to noncontrolling interests from continuing operations</w:t>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(16,012)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3,601 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4"/>
              </w:rPr>
            </w:pPr>
            <w:r>
              <w:rPr>
                <w:rFonts w:ascii="Times New Roman;serif" w:hAnsi="Times New Roman;serif"/>
                <w:b w:val="false"/>
                <w:color w:val="000000"/>
                <w:sz w:val="14"/>
              </w:rPr>
              <w:t>(12,411)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14"/>
              </w:rPr>
            </w:pPr>
            <w:r>
              <w:rPr>
                <w:rFonts w:ascii="Times New Roman;serif" w:hAnsi="Times New Roman;serif"/>
                <w:b/>
                <w:color w:val="000000"/>
                <w:sz w:val="14"/>
              </w:rPr>
              <w:t>Comprehensive income (loss) attributable from continuing operations to Class A shareholders</w:t>
            </w:r>
          </w:p>
        </w:tc>
        <w:tc>
          <w:tcPr>
            <w:tcW w:w="630" w:type="dxa"/>
            <w:gridSpan w:val="3"/>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796" w:type="dxa"/>
            <w:gridSpan w:val="2"/>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(90,103)</w:t>
            </w:r>
          </w:p>
        </w:tc>
        <w:tc>
          <w:tcPr>
            <w:tcW w:w="211"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651" w:type="dxa"/>
            <w:gridSpan w:val="2"/>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14"/>
              </w:rPr>
              <w:t>15,216</w:t>
            </w:r>
            <w:r>
              <w:rPr>
                <w:color w:val="000000"/>
              </w:rPr>
              <w:t> </w:t>
            </w:r>
          </w:p>
        </w:tc>
        <w:tc>
          <w:tcPr>
            <w:tcW w:w="188"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578" w:type="dxa"/>
            <w:gridSpan w:val="2"/>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color w:val="000000"/>
              </w:rPr>
            </w:pPr>
            <w:r>
              <w:rPr>
                <w:color w:val="000000"/>
              </w:rPr>
              <w:t>— </w:t>
            </w:r>
          </w:p>
        </w:tc>
        <w:tc>
          <w:tcPr>
            <w:tcW w:w="258"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center"/>
              <w:rPr>
                <w:rFonts w:ascii="Times New Roman;serif" w:hAnsi="Times New Roman;serif"/>
                <w:b/>
                <w:color w:val="000000"/>
                <w:sz w:val="14"/>
              </w:rPr>
            </w:pPr>
            <w:r>
              <w:rPr>
                <w:rFonts w:ascii="Times New Roman;serif" w:hAnsi="Times New Roman;serif"/>
                <w:b/>
                <w:color w:val="000000"/>
                <w:sz w:val="14"/>
              </w:rPr>
              <w:t>$</w:t>
            </w:r>
          </w:p>
        </w:tc>
        <w:tc>
          <w:tcPr>
            <w:tcW w:w="796" w:type="dxa"/>
            <w:gridSpan w:val="2"/>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color w:val="000000"/>
                <w:sz w:val="14"/>
              </w:rPr>
            </w:pPr>
            <w:r>
              <w:rPr>
                <w:rFonts w:ascii="Times New Roman;serif" w:hAnsi="Times New Roman;serif"/>
                <w:b/>
                <w:color w:val="000000"/>
                <w:sz w:val="14"/>
              </w:rPr>
              <w:t>(74,887)</w:t>
            </w:r>
          </w:p>
        </w:tc>
        <w:tc>
          <w:tcPr>
            <w:tcW w:w="173"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unaudited pro forma condensed consolidated financial statements.</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 xml:space="preserve">WALDENCAST PLC </w:t>
      </w:r>
    </w:p>
    <w:p>
      <w:pPr>
        <w:pStyle w:val="TextBody"/>
        <w:bidi w:val="0"/>
        <w:spacing w:lineRule="auto" w:line="367" w:before="0" w:after="0"/>
        <w:jc w:val="center"/>
        <w:rPr>
          <w:rFonts w:ascii="Times New Roman;serif" w:hAnsi="Times New Roman;serif"/>
          <w:b/>
          <w:color w:val="000000"/>
          <w:sz w:val="18"/>
        </w:rPr>
      </w:pPr>
      <w:r>
        <w:rPr>
          <w:rFonts w:ascii="Times New Roman;serif" w:hAnsi="Times New Roman;serif"/>
          <w:b/>
          <w:color w:val="000000"/>
          <w:sz w:val="18"/>
        </w:rPr>
        <w:t>NOTES TO UNAUDITED PRO FORMA CONDENSED CONSOLIDATED FINANCIAL STATEMENTS</w:t>
      </w:r>
    </w:p>
    <w:p>
      <w:pPr>
        <w:pStyle w:val="TextBody"/>
        <w:bidi w:val="0"/>
        <w:spacing w:before="0" w:after="0"/>
        <w:jc w:val="center"/>
        <w:rPr/>
      </w:pPr>
      <w:r>
        <w:rPr/>
      </w:r>
    </w:p>
    <w:p>
      <w:pPr>
        <w:pStyle w:val="TextBody"/>
        <w:bidi w:val="0"/>
        <w:spacing w:lineRule="auto" w:line="288" w:before="240" w:after="240"/>
        <w:ind w:left="0" w:right="0" w:hanging="360"/>
        <w:jc w:val="both"/>
        <w:rPr>
          <w:rFonts w:ascii="Times New Roman;serif" w:hAnsi="Times New Roman;serif"/>
          <w:b/>
          <w:color w:val="000000"/>
          <w:sz w:val="20"/>
        </w:rPr>
      </w:pPr>
      <w:r>
        <w:rPr>
          <w:rFonts w:ascii="Times New Roman;serif" w:hAnsi="Times New Roman;serif"/>
          <w:b/>
          <w:color w:val="000000"/>
          <w:sz w:val="20"/>
        </w:rPr>
        <w:t xml:space="preserve">1.Basis of Presentation </w:t>
      </w:r>
    </w:p>
    <w:p>
      <w:pPr>
        <w:pStyle w:val="TextBody"/>
        <w:bidi w:val="0"/>
        <w:spacing w:lineRule="auto" w:line="288" w:before="240" w:after="240"/>
        <w:jc w:val="both"/>
        <w:rPr/>
      </w:pPr>
      <w:r>
        <w:rPr>
          <w:rFonts w:ascii="Times New Roman;serif" w:hAnsi="Times New Roman;serif"/>
          <w:b w:val="false"/>
          <w:color w:val="000000"/>
          <w:sz w:val="20"/>
        </w:rPr>
        <w:t>The unaudited pro forma condensed consolidated financial statements and related notes are prepared in accordance with Article 11 of Regulation S-X.</w:t>
      </w:r>
      <w:r>
        <w:rPr>
          <w:color w:val="000000"/>
        </w:rPr>
        <w:t xml:space="preserve"> </w:t>
      </w:r>
      <w:r>
        <w:rPr>
          <w:rFonts w:ascii="Times New Roman;serif" w:hAnsi="Times New Roman;serif"/>
          <w:b w:val="false"/>
          <w:color w:val="000000"/>
          <w:sz w:val="20"/>
        </w:rPr>
        <w:t>The Company has elected to present only Transaction Accounting Adjustments and has not presented Management’s Adjustments.</w:t>
      </w:r>
      <w:r>
        <w:rPr>
          <w:color w:val="000000"/>
        </w:rPr>
        <w:t xml:space="preserve"> </w:t>
      </w:r>
      <w:r>
        <w:rPr>
          <w:rFonts w:ascii="Times New Roman;serif" w:hAnsi="Times New Roman;serif"/>
          <w:b w:val="false"/>
          <w:color w:val="000000"/>
          <w:sz w:val="20"/>
        </w:rPr>
        <w:t>While the historical consolidated financial statements reflect the Company’s past financial results, the unaudited pro forma condensed consolidated financial information is presented for informational purposes only and illustrates how the Transferred Group might have affected those results had it occurred on the dates indicated below:</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The Unaudited Pro Forma Condensed Consolidated Balance Sheets as of December 31, 2025, as adjusted, gives effect to the Pro Forma Adjustments and Disposal Accounting Adjustments as if they had occurred or become effective on December 31, 2025.</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The Unaudited Pro Forma Condensed Consolidated Statements of Operations for the years ended December 31, 2025, 2024 and 2023, as adjusted, to give effect to the Pro Forma Adjustments and Disposal Accounting Adjustments as if they had occurred or become effective on January 1, 2023.</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information has been compiled using the significant accounting policies set forth in Waldencast’s audited consolidated financial statements and accompanying notes included in the Company’s Annual Report on Form 20-F for the year ended December 31, 2025, 2024 and 2023.</w:t>
      </w:r>
    </w:p>
    <w:p>
      <w:pPr>
        <w:pStyle w:val="TextBody"/>
        <w:bidi w:val="0"/>
        <w:spacing w:lineRule="auto" w:line="288" w:before="240" w:after="240"/>
        <w:ind w:left="0" w:right="0" w:hanging="360"/>
        <w:jc w:val="both"/>
        <w:rPr>
          <w:rFonts w:ascii="Times New Roman;serif" w:hAnsi="Times New Roman;serif"/>
          <w:b/>
          <w:color w:val="000000"/>
          <w:sz w:val="20"/>
        </w:rPr>
      </w:pPr>
      <w:r>
        <w:rPr>
          <w:rFonts w:ascii="Times New Roman;serif" w:hAnsi="Times New Roman;serif"/>
          <w:b/>
          <w:color w:val="000000"/>
          <w:sz w:val="20"/>
        </w:rPr>
        <w:t>2.Transaction Accounting Adjustments to Unaudited Pro Forma Condensed Consolidated Balance Sheet</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balance sheet as of December 31, 2025, reflects the following adjustments:</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a)the derecognition of the assets and liabilities of the Transferred Group transferred pursuant to the Agreement, including allocated goodwill and other assets and liabilities within the Transaction perimeter with a corresponding adjustment of $393.9 to additional paid-in capital (“APIC”).</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b)reflects estimated net cash proceeds of approximately $334.4 million, which is comprised of the purchase price for the Sale interests of $366.0 million received from the Purchaser, net of Vendor Notes, transaction fees and estimated purchase price adjustments made at closing. The net cash proceeds ultimately recognized may change based on customary net working capital and other adjustments to be made pursuant to the Agreement. The net cash proceeds from the Sale were subsequently used by the Company to repay the Company's Existing Credit Agreement.</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pro forma adjustment to cash and cash equivalents was calculated as follows:</w:t>
      </w:r>
    </w:p>
    <w:tbl>
      <w:tblPr>
        <w:tblW w:w="5459" w:type="dxa"/>
        <w:jc w:val="left"/>
        <w:tblInd w:w="0" w:type="dxa"/>
        <w:tblLayout w:type="fixed"/>
        <w:tblCellMar>
          <w:top w:w="28" w:type="dxa"/>
          <w:left w:w="28" w:type="dxa"/>
          <w:bottom w:w="28" w:type="dxa"/>
          <w:right w:w="28" w:type="dxa"/>
        </w:tblCellMar>
      </w:tblPr>
      <w:tblGrid>
        <w:gridCol w:w="1544"/>
        <w:gridCol w:w="1356"/>
        <w:gridCol w:w="1360"/>
        <w:gridCol w:w="254"/>
        <w:gridCol w:w="760"/>
        <w:gridCol w:w="185"/>
      </w:tblGrid>
      <w:tr>
        <w:trPr/>
        <w:tc>
          <w:tcPr>
            <w:tcW w:w="154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Components</w:t>
            </w:r>
          </w:p>
        </w:tc>
        <w:tc>
          <w:tcPr>
            <w:tcW w:w="1199"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 in millions</w:t>
            </w:r>
          </w:p>
        </w:tc>
      </w:tr>
      <w:tr>
        <w:trPr/>
        <w:tc>
          <w:tcPr>
            <w:tcW w:w="42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Estimated net cash proceeds</w:t>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Payment of Existing Credit Agreement (d)</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(178.4)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Payment of compensation-related costs (e)</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Payment of qualifying Transaction-related costs (c)</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6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20"/>
              </w:rPr>
              <w:t>138.5</w:t>
            </w:r>
            <w:r>
              <w:rPr>
                <w:color w:val="000000"/>
              </w:rPr>
              <w:t> </w:t>
            </w:r>
          </w:p>
        </w:tc>
        <w:tc>
          <w:tcPr>
            <w:tcW w:w="18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estimated consideration received in connection with the Sale, calculated as follows:</w:t>
      </w:r>
    </w:p>
    <w:tbl>
      <w:tblPr>
        <w:tblW w:w="7220" w:type="dxa"/>
        <w:jc w:val="left"/>
        <w:tblInd w:w="0" w:type="dxa"/>
        <w:tblLayout w:type="fixed"/>
        <w:tblCellMar>
          <w:top w:w="28" w:type="dxa"/>
          <w:left w:w="28" w:type="dxa"/>
          <w:bottom w:w="28" w:type="dxa"/>
          <w:right w:w="28" w:type="dxa"/>
        </w:tblCellMar>
      </w:tblPr>
      <w:tblGrid>
        <w:gridCol w:w="1277"/>
        <w:gridCol w:w="1123"/>
        <w:gridCol w:w="1125"/>
        <w:gridCol w:w="256"/>
        <w:gridCol w:w="767"/>
        <w:gridCol w:w="132"/>
        <w:gridCol w:w="743"/>
        <w:gridCol w:w="743"/>
        <w:gridCol w:w="1054"/>
      </w:tblGrid>
      <w:tr>
        <w:trPr/>
        <w:tc>
          <w:tcPr>
            <w:tcW w:w="127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Components</w:t>
            </w:r>
          </w:p>
        </w:tc>
        <w:tc>
          <w:tcPr>
            <w:tcW w:w="1155"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 in millions</w:t>
            </w:r>
          </w:p>
        </w:tc>
        <w:tc>
          <w:tcPr>
            <w:tcW w:w="254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Caption</w:t>
            </w:r>
          </w:p>
        </w:tc>
      </w:tr>
      <w:tr>
        <w:trPr/>
        <w:tc>
          <w:tcPr>
            <w:tcW w:w="35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Estimated net cash proceeds</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ind w:left="0" w:right="0" w:firstLine="20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Escrow amount</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00"/>
              <w:jc w:val="left"/>
              <w:rPr>
                <w:rFonts w:ascii="Times New Roman;serif" w:hAnsi="Times New Roman;serif"/>
                <w:b w:val="false"/>
                <w:i/>
                <w:color w:val="000000"/>
                <w:sz w:val="20"/>
              </w:rPr>
            </w:pPr>
            <w:r>
              <w:rPr>
                <w:rFonts w:ascii="Times New Roman;serif" w:hAnsi="Times New Roman;serif"/>
                <w:b w:val="false"/>
                <w:i/>
                <w:color w:val="000000"/>
                <w:sz w:val="20"/>
              </w:rPr>
              <w:t>Restricted cash</w:t>
            </w:r>
          </w:p>
        </w:tc>
      </w:tr>
      <w:tr>
        <w:trPr/>
        <w:tc>
          <w:tcPr>
            <w:tcW w:w="35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Total cash consideration received</w:t>
            </w:r>
          </w:p>
        </w:tc>
        <w:tc>
          <w:tcPr>
            <w:tcW w:w="102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20"/>
              </w:rPr>
              <w:t>337.4</w:t>
            </w: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Fair value of the Vendor Notes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00"/>
              <w:jc w:val="left"/>
              <w:rPr>
                <w:rFonts w:ascii="Times New Roman;serif" w:hAnsi="Times New Roman;serif"/>
                <w:b w:val="false"/>
                <w:i/>
                <w:color w:val="000000"/>
                <w:sz w:val="20"/>
              </w:rPr>
            </w:pPr>
            <w:r>
              <w:rPr>
                <w:rFonts w:ascii="Times New Roman;serif" w:hAnsi="Times New Roman;serif"/>
                <w:b w:val="false"/>
                <w:i/>
                <w:color w:val="000000"/>
                <w:sz w:val="20"/>
              </w:rPr>
              <w:t>Other non-current assets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Fair Value of 2026 Earnout Consideration</w:t>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200"/>
              <w:jc w:val="left"/>
              <w:rPr>
                <w:rFonts w:ascii="Times New Roman;serif" w:hAnsi="Times New Roman;serif"/>
                <w:b w:val="false"/>
                <w:i/>
                <w:color w:val="000000"/>
                <w:sz w:val="20"/>
              </w:rPr>
            </w:pPr>
            <w:r>
              <w:rPr>
                <w:rFonts w:ascii="Times New Roman;serif" w:hAnsi="Times New Roman;serif"/>
                <w:b w:val="false"/>
                <w:i/>
                <w:color w:val="000000"/>
                <w:sz w:val="20"/>
              </w:rPr>
              <w:t>Other current assets</w:t>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Fair Value of 2027 Earnout Consideration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200"/>
              <w:jc w:val="left"/>
              <w:rPr>
                <w:rFonts w:ascii="Times New Roman;serif" w:hAnsi="Times New Roman;serif"/>
                <w:b w:val="false"/>
                <w:i/>
                <w:color w:val="000000"/>
                <w:sz w:val="20"/>
              </w:rPr>
            </w:pPr>
            <w:r>
              <w:rPr>
                <w:rFonts w:ascii="Times New Roman;serif" w:hAnsi="Times New Roman;serif"/>
                <w:b w:val="false"/>
                <w:i/>
                <w:color w:val="000000"/>
                <w:sz w:val="20"/>
              </w:rPr>
              <w:t>Other non-current assets</w:t>
            </w:r>
          </w:p>
        </w:tc>
      </w:tr>
      <w:tr>
        <w:trPr/>
        <w:tc>
          <w:tcPr>
            <w:tcW w:w="352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Total estimated consideration received</w:t>
            </w:r>
          </w:p>
        </w:tc>
        <w:tc>
          <w:tcPr>
            <w:tcW w:w="2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20"/>
              </w:rPr>
              <w:t>380.0</w:t>
            </w:r>
            <w:r>
              <w:rPr>
                <w:color w:val="000000"/>
              </w:rPr>
              <w:t> </w:t>
            </w:r>
          </w:p>
        </w:tc>
        <w:tc>
          <w:tcPr>
            <w:tcW w:w="13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total estimated consideration comprises cash consideration of $337.4 million, Vendor Notes with a preliminary estimated fair value of $21.8 million and Earnout Consideration with an aggregate preliminary estimated fair value of $20.8 million. The total estimated consideration is used in calculating the estimated pro forma gain on the Sale.</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Vendor Notes have been measured at a preliminary estimated fair value of $21.8 million using a discounted cash flow approach. The valuation applies a market-participant yield to the expected contractual cash flows and considers, among other factors, the contractual terms and maturity of the notes, the expected timing and amount of the cash flows, the applicable contractual interest rates, the credit risk of the issuer, the subordinated nature of the instruments and, where applicable, the provisions permitting adjustments to the principal amount. The Vendor Notes are presented within Other non-current assets based on their contractual maturity and expected settlement dates.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Earnout Consideration has been measured at a preliminary estimated fair value of $20.8 million using a Monte Carlo simulation. The valuation considers the applicable contractual revenue thresholds and caps, forecast revenue and associated uncertainty, the probability and timing of achieving the relevant milestones, the expected payment dates, the applicable discount rate and other relevant market-participant assumptions.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accounting for the consideration received in connection with the Sale is preliminary and remains subject to completion of the Closing calculations and the related valuation analyses. The principal areas of uncertainty include the final Closing adjustments, the expected cash flows, credit risk and market yield applicable to the Vendor Notes, and the revenue forecasts, achievement probabilities and discount rates used to estimate the fair value of the Earnout Consideration. The final amounts recognized upon completion of the Sale may differ from the preliminary estimates reflected in the unaudited pro forma condensed consolidated financial information.</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estimated pro forma gain on the Sale was calculated as follows: </w:t>
      </w:r>
    </w:p>
    <w:p>
      <w:pPr>
        <w:pStyle w:val="TextBody"/>
        <w:bidi w:val="0"/>
        <w:spacing w:before="0" w:after="0"/>
        <w:jc w:val="both"/>
        <w:rPr/>
      </w:pPr>
      <w:r>
        <w:rPr/>
      </w:r>
    </w:p>
    <w:tbl>
      <w:tblPr>
        <w:tblW w:w="6690" w:type="dxa"/>
        <w:jc w:val="left"/>
        <w:tblInd w:w="0" w:type="dxa"/>
        <w:tblLayout w:type="fixed"/>
        <w:tblCellMar>
          <w:top w:w="28" w:type="dxa"/>
          <w:left w:w="28" w:type="dxa"/>
          <w:bottom w:w="28" w:type="dxa"/>
          <w:right w:w="28" w:type="dxa"/>
        </w:tblCellMar>
      </w:tblPr>
      <w:tblGrid>
        <w:gridCol w:w="1985"/>
        <w:gridCol w:w="1748"/>
        <w:gridCol w:w="1757"/>
        <w:gridCol w:w="258"/>
        <w:gridCol w:w="754"/>
        <w:gridCol w:w="188"/>
      </w:tblGrid>
      <w:tr>
        <w:trPr/>
        <w:tc>
          <w:tcPr>
            <w:tcW w:w="198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Components</w:t>
            </w:r>
          </w:p>
        </w:tc>
        <w:tc>
          <w:tcPr>
            <w:tcW w:w="120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 in millions</w:t>
            </w:r>
          </w:p>
        </w:tc>
      </w:tr>
      <w:tr>
        <w:trPr/>
        <w:tc>
          <w:tcPr>
            <w:tcW w:w="54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Total estimated consideration received</w:t>
            </w:r>
          </w:p>
        </w:tc>
        <w:tc>
          <w:tcPr>
            <w:tcW w:w="2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Less: Carrying value of net assets of the Transferred Group (a)</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(393.9)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Less: Qualifying disposal-related transaction costs (c)</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Plus: Carrying amount of noncontrolling interest derecognized (h)</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Estimated pro forma gain (loss) on Sale</w:t>
            </w:r>
          </w:p>
        </w:tc>
        <w:tc>
          <w:tcPr>
            <w:tcW w:w="25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5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pPr>
            <w:r>
              <w:rPr>
                <w:rFonts w:ascii="Times New Roman;serif" w:hAnsi="Times New Roman;serif"/>
                <w:b/>
                <w:color w:val="000000"/>
                <w:sz w:val="20"/>
              </w:rPr>
              <w:t>4.7</w:t>
            </w:r>
            <w:r>
              <w:rPr>
                <w:color w:val="000000"/>
              </w:rPr>
              <w:t> </w:t>
            </w:r>
          </w:p>
        </w:tc>
        <w:tc>
          <w:tcPr>
            <w:tcW w:w="1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c)qualifying transaction-related costs of $12.2 million incurred in connection with the Closing. These costs primarily relate to the advisory, legal and professional transaction fees. Of the total amount, approximately $11.5 million was paid in cash at Closing, while the remaining $0.7 million was accrued in accounts payable. This adjustment has been reflected as a reduction of the pro forma gain on Sale, with a corresponding accrual recorded in accounts payable.</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d)in connection with the Sale, the Company repaid and settled the Credit Agreement, dated as of November 14, 2025 (as amended, restated, amended and restated or otherwise modified from time to time, the “Existing Credit Agreement”), by and among the Company, Milk Makeup, Obagi Cosmeceuticals, the lenders from time to time party thereto, and LSSF II Offshore Investments, LP, an Ontario limited partnership acting by its general partner, Lumina Fund II GP Ltd., as administrative agent. The Company paid $178.4 million in cash, which comprised the principal, accrued interest, and a contractual prepayment fee. Upon settlement, the Company derecognized long-term debt of $135.8 million (comprising principal, accrued interest, deferred financing costs, and debt discount) and related embedded derivative liabilities of $11.8 million. The difference between the cash paid and the carrying amounts derecognized totaled $30.8 million, which was recognized as a loss on extinguishment of debt and reflected as a reduction to retained earnings.</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e)compensation costs and modifications to equity awards arising in connection with the Sale, including severance payments, cash transaction bonuses, transaction bonuses linked to the Earnout Consideration, the acceleration of Restricted Stock Unit ("RSU") awards and share repurchase arrangements with certain employees and key executives. The pro forma adjustments recognize $23.5 million of accrued compensation costs in current liabilities, of which $6.0 million has been settled through the net cash proceeds received. An additional $0.4 million relating to earnout-linked transaction bonuses is recorded in other non-current liabilities. The total effects are reflected as adjustments of $1.4 million to APIC and $22.5 million to retained earnings.</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f)adjustment to APIC related to derecognition of the Transferred Group’s net assets of $393.9 million described in (a), offset by a $1.4 million APIC reduction related to the RSU acceleration and share repurchase arrangements as described in (e).</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g)reflects the derecognition of $30.8 million of noncontrolling interests associated with the Transferred Group upon the loss of control. This amount is included in the estimated pro forma gain on the Sale described in note (b). </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h)net retained earnings impact of the transaction accounting adjustments described in notes (a) through (g). The net decrease to retained earnings of $48.6 million is calculated as follows:</w:t>
      </w:r>
    </w:p>
    <w:p>
      <w:pPr>
        <w:pStyle w:val="TextBody"/>
        <w:bidi w:val="0"/>
        <w:spacing w:before="0" w:after="0"/>
        <w:jc w:val="both"/>
        <w:rPr/>
      </w:pPr>
      <w:r>
        <w:rPr/>
      </w:r>
    </w:p>
    <w:tbl>
      <w:tblPr>
        <w:tblW w:w="7049" w:type="dxa"/>
        <w:jc w:val="left"/>
        <w:tblInd w:w="0" w:type="dxa"/>
        <w:tblLayout w:type="fixed"/>
        <w:tblCellMar>
          <w:top w:w="28" w:type="dxa"/>
          <w:left w:w="28" w:type="dxa"/>
          <w:bottom w:w="28" w:type="dxa"/>
          <w:right w:w="28" w:type="dxa"/>
        </w:tblCellMar>
      </w:tblPr>
      <w:tblGrid>
        <w:gridCol w:w="2118"/>
        <w:gridCol w:w="1863"/>
        <w:gridCol w:w="1868"/>
        <w:gridCol w:w="266"/>
        <w:gridCol w:w="740"/>
        <w:gridCol w:w="194"/>
      </w:tblGrid>
      <w:tr>
        <w:trPr/>
        <w:tc>
          <w:tcPr>
            <w:tcW w:w="2118"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Components</w:t>
            </w:r>
          </w:p>
        </w:tc>
        <w:tc>
          <w:tcPr>
            <w:tcW w:w="120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 in millions</w:t>
            </w:r>
          </w:p>
        </w:tc>
      </w:tr>
      <w:tr>
        <w:trPr/>
        <w:tc>
          <w:tcPr>
            <w:tcW w:w="58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Estimated pro forma gain on the Sale (b)</w:t>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9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Transaction-related compensation costs (e)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Loss on settlement of the debt under the Existing Credit Agreement (d)</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Net increase (decrease) to retained earnings</w:t>
            </w:r>
          </w:p>
        </w:tc>
        <w:tc>
          <w:tcPr>
            <w:tcW w:w="2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w:t>
            </w:r>
          </w:p>
        </w:tc>
        <w:tc>
          <w:tcPr>
            <w:tcW w:w="740"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(48.6)</w:t>
            </w:r>
          </w:p>
        </w:tc>
        <w:tc>
          <w:tcPr>
            <w:tcW w:w="19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40"/>
        <w:jc w:val="left"/>
        <w:rPr>
          <w:rFonts w:ascii="Times New Roman;serif" w:hAnsi="Times New Roman;serif"/>
          <w:b/>
          <w:color w:val="000000"/>
          <w:sz w:val="20"/>
        </w:rPr>
      </w:pPr>
      <w:r>
        <w:rPr>
          <w:rFonts w:ascii="Times New Roman;serif" w:hAnsi="Times New Roman;serif"/>
          <w:b/>
          <w:color w:val="000000"/>
          <w:sz w:val="20"/>
        </w:rPr>
        <w:t>Transaction Accounting Adjustments to Unaudited Pro Forma Condensed Consolidated Statements of Operations</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statements of operations for the years ended December 31, 2025, 2024 and 2023 reflect the following adjustments:</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i)elimination of the historical operating results for the historical periods presented, including revenues, costs, expenses, other income statement activity and the related income tax expense or benefit directly attributable to the Transferred Group.</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j)reflects the estimated costs of services to be received by Waldencast under the TSA. The adjustment recognizes related costs of $0.2 million within selling, general and administrative expenses for the fiscal year 2025.</w:t>
      </w:r>
    </w:p>
    <w:p>
      <w:pPr>
        <w:pStyle w:val="TextBody"/>
        <w:bidi w:val="0"/>
        <w:spacing w:lineRule="auto" w:line="288" w:before="24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k)reflects the estimated accretion income on the Fixed Vendor Note received as consideration in connection with the Sale, as described in note (b). The Fixed Vendor Note are estimated based on a market yield, with accretion recognized under the effective interest method. The adjustment decreases interest expense, net by $1.5 million for the fiscal year 2025 representing the estimated finance income recognized on the Fixed Vendor Note.</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separately evaluated the income tax effects for the transaction accounting adjustments. No income tax effects have been recorded because the related items either (i) are recognized in a jurisdiction with a zero statutory income tax rate or (ii) do not result in the recognition of an income tax benefit due to the existence of a valuation allowance. </w:t>
      </w:r>
    </w:p>
    <w:p>
      <w:pPr>
        <w:pStyle w:val="TextBody"/>
        <w:bidi w:val="0"/>
        <w:spacing w:lineRule="auto" w:line="288" w:before="240" w:after="240"/>
        <w:ind w:left="0" w:right="0" w:hanging="360"/>
        <w:jc w:val="both"/>
        <w:rPr>
          <w:rFonts w:ascii="Times New Roman;serif" w:hAnsi="Times New Roman;serif"/>
          <w:b/>
          <w:color w:val="000000"/>
          <w:sz w:val="20"/>
        </w:rPr>
      </w:pPr>
      <w:r>
        <w:rPr>
          <w:rFonts w:ascii="Times New Roman;serif" w:hAnsi="Times New Roman;serif"/>
          <w:b/>
          <w:color w:val="000000"/>
          <w:sz w:val="20"/>
        </w:rPr>
        <w:t>3.Pro Forma Shareholder’s Equity and Net Income (Loss) Per Share</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The calculation of pro forma basic and diluted net income (loss) per ordinary share for the years ended December 31, 2025, 2024 and 2023 gives effect to the Sale and related transaction accounting adjustments as if they had occurred on January 1, 2023.</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Basic and diluted pro forma net income (loss) per ordinary share are the same for the periods presented where the Company reports a net loss or where the effect of potential ordinary shares would be anti-dilutive. The following table sets forth the computation of pro forma basic and diluted net income (loss) per ordinary share from continuing operations:</w:t>
      </w:r>
    </w:p>
    <w:tbl>
      <w:tblPr>
        <w:tblW w:w="10205" w:type="dxa"/>
        <w:jc w:val="left"/>
        <w:tblInd w:w="0" w:type="dxa"/>
        <w:tblLayout w:type="fixed"/>
        <w:tblCellMar>
          <w:top w:w="28" w:type="dxa"/>
          <w:left w:w="28" w:type="dxa"/>
          <w:bottom w:w="28" w:type="dxa"/>
          <w:right w:w="28" w:type="dxa"/>
        </w:tblCellMar>
      </w:tblPr>
      <w:tblGrid>
        <w:gridCol w:w="1529"/>
        <w:gridCol w:w="1090"/>
        <w:gridCol w:w="1098"/>
        <w:gridCol w:w="196"/>
        <w:gridCol w:w="109"/>
        <w:gridCol w:w="109"/>
        <w:gridCol w:w="781"/>
        <w:gridCol w:w="479"/>
        <w:gridCol w:w="481"/>
        <w:gridCol w:w="196"/>
        <w:gridCol w:w="109"/>
        <w:gridCol w:w="109"/>
        <w:gridCol w:w="781"/>
        <w:gridCol w:w="479"/>
        <w:gridCol w:w="481"/>
        <w:gridCol w:w="196"/>
        <w:gridCol w:w="109"/>
        <w:gridCol w:w="109"/>
        <w:gridCol w:w="706"/>
        <w:gridCol w:w="435"/>
        <w:gridCol w:w="623"/>
      </w:tblGrid>
      <w:tr>
        <w:trPr/>
        <w:tc>
          <w:tcPr>
            <w:tcW w:w="152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717"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share and per share amounts)</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Numerator:</w:t>
            </w:r>
          </w:p>
        </w:tc>
        <w:tc>
          <w:tcPr>
            <w:tcW w:w="4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w:t>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78" w:type="dxa"/>
            <w:gridSpan w:val="4"/>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(102,170)</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78" w:type="dxa"/>
            <w:gridSpan w:val="4"/>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(29,191)</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359" w:type="dxa"/>
            <w:gridSpan w:val="4"/>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(87,126)</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 attributable to noncontrolling interest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3,916 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(4,101)</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(12,391)</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Net income (loss) from continuing operations attributed to Class A shareholders - basic and diluted EPS</w:t>
            </w:r>
          </w:p>
        </w:tc>
        <w:tc>
          <w:tcPr>
            <w:tcW w:w="4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(106,086)</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(25,090)</w:t>
            </w:r>
          </w:p>
        </w:tc>
        <w:tc>
          <w:tcPr>
            <w:tcW w:w="48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(74,735)</w:t>
            </w:r>
          </w:p>
        </w:tc>
        <w:tc>
          <w:tcPr>
            <w:tcW w:w="6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Denominator:</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Historical weighted-average basic shares outstanding</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114,070,225 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109,295,742 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91,158,500 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Effect of estimated share repurchase</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Pro forma weighted-average basic shares outstanding</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114,070,225 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109,295,742 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91,158,500 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Effect of dilutive securities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48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160"/>
              <w:jc w:val="right"/>
              <w:rPr>
                <w:color w:val="000000"/>
              </w:rPr>
            </w:pPr>
            <w:r>
              <w:rPr>
                <w:color w:val="000000"/>
              </w:rPr>
              <w:t>— </w:t>
            </w:r>
          </w:p>
        </w:tc>
        <w:tc>
          <w:tcPr>
            <w:tcW w:w="6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FFFF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Pro forma weighted-average diluted shares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114,070,225 </w:t>
            </w:r>
          </w:p>
        </w:tc>
        <w:tc>
          <w:tcPr>
            <w:tcW w:w="48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109,295,742 </w:t>
            </w:r>
          </w:p>
        </w:tc>
        <w:tc>
          <w:tcPr>
            <w:tcW w:w="48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91,158,500 </w:t>
            </w:r>
          </w:p>
        </w:tc>
        <w:tc>
          <w:tcPr>
            <w:tcW w:w="623"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17" w:type="dxa"/>
            <w:gridSpan w:val="3"/>
            <w:tcBorders/>
            <w:shd w:fill="CCEEFF" w:val="clear"/>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Pro forma basic and diluted net income (loss) per share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78" w:type="dxa"/>
            <w:gridSpan w:val="4"/>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(0.93)</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78" w:type="dxa"/>
            <w:gridSpan w:val="4"/>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(0.23)</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359" w:type="dxa"/>
            <w:gridSpan w:val="4"/>
            <w:tcBorders/>
            <w:shd w:fill="CCEEFF" w:val="clear"/>
            <w:tcMar>
              <w:top w:w="0" w:type="dxa"/>
              <w:left w:w="0" w:type="dxa"/>
              <w:bottom w:w="0" w:type="dxa"/>
              <w:right w:w="0" w:type="dxa"/>
            </w:tcMar>
            <w:vAlign w:val="center"/>
          </w:tcPr>
          <w:p>
            <w:pPr>
              <w:pStyle w:val="TableContents"/>
              <w:bidi w:val="0"/>
              <w:spacing w:lineRule="auto" w:line="300" w:before="0" w:after="160"/>
              <w:jc w:val="right"/>
              <w:rPr>
                <w:rFonts w:ascii="Times New Roman;serif" w:hAnsi="Times New Roman;serif"/>
                <w:b w:val="false"/>
                <w:color w:val="000000"/>
                <w:sz w:val="16"/>
              </w:rPr>
            </w:pPr>
            <w:r>
              <w:rPr>
                <w:rFonts w:ascii="Times New Roman;serif" w:hAnsi="Times New Roman;serif"/>
                <w:b w:val="false"/>
                <w:color w:val="000000"/>
                <w:sz w:val="16"/>
              </w:rPr>
              <w:t>(0.82)</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4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5031</Words>
  <Characters>29663</Characters>
  <CharactersWithSpaces>34267</CharactersWithSpaces>
  <Paragraphs>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