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831850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797560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-728345</wp:posOffset>
            </wp:positionH>
            <wp:positionV relativeFrom="paragraph">
              <wp:posOffset>89535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6-K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-728345</wp:posOffset>
            </wp:positionH>
            <wp:positionV relativeFrom="paragraph">
              <wp:posOffset>106680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 the Month of: May 2024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Commission File Number: 001-40207</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Waldencast plc</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(Translation of Registrant’s name into English)</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10 Bank Street, Suite 560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White Plains, New York, 10606</w:t>
      </w: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1" w:lineRule="exact"/>
        <w:rPr>
          <w:sz w:val="24"/>
          <w:szCs w:val="24"/>
          <w:color w:val="auto"/>
        </w:rPr>
      </w:pPr>
    </w:p>
    <w:p>
      <w:pPr>
        <w:ind w:left="3980" w:hanging="146"/>
        <w:spacing w:after="0" w:line="138" w:lineRule="exact"/>
        <w:tabs>
          <w:tab w:leader="none" w:pos="39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w:t>
      </w:r>
    </w:p>
    <w:p>
      <w:pPr>
        <w:spacing w:after="0" w:line="159" w:lineRule="exact"/>
        <w:rPr>
          <w:sz w:val="24"/>
          <w:szCs w:val="24"/>
          <w:color w:val="auto"/>
        </w:rPr>
      </w:pPr>
    </w:p>
    <w:p>
      <w:pPr>
        <w:jc w:val="cente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submitting the Form 6-K in paper as permitted by Regulation S-T Rule 101(b)(1): </w:t>
      </w:r>
      <w:r>
        <w:rPr>
          <w:rFonts w:ascii="MS PGothic" w:cs="MS PGothic" w:eastAsia="MS PGothic" w:hAnsi="MS PGothic"/>
          <w:sz w:val="11"/>
          <w:szCs w:val="11"/>
          <w:color w:val="auto"/>
        </w:rPr>
        <w:t>☐</w:t>
      </w:r>
    </w:p>
    <w:p>
      <w:pPr>
        <w:spacing w:after="0" w:line="171" w:lineRule="exact"/>
        <w:rPr>
          <w:sz w:val="24"/>
          <w:szCs w:val="24"/>
          <w:color w:val="auto"/>
        </w:rPr>
      </w:pPr>
    </w:p>
    <w:p>
      <w:pPr>
        <w:jc w:val="cente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submitting the Form 6-K in paper as permitted by Regulation S-T Rule 101(b)(7): </w:t>
      </w:r>
      <w:r>
        <w:rPr>
          <w:rFonts w:ascii="MS PGothic" w:cs="MS PGothic" w:eastAsia="MS PGothic" w:hAnsi="MS PGothic"/>
          <w:sz w:val="11"/>
          <w:szCs w:val="11"/>
          <w:color w:val="auto"/>
        </w:rPr>
        <w:t>☐</w:t>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Waldencast plc Announces Q1 2024 Financial Results</w:t>
      </w:r>
    </w:p>
    <w:p>
      <w:pPr>
        <w:spacing w:after="0" w:line="1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On May 21, 2024, Waldencast plc provided business updates by way of a press release and an updated corporate presentation for the three months ended March 31, 2024. A copy of the press release is attached hereto as Exhibit 99.1 and a copy of the presentation is attached hereto as Exhibit 99.2.</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40" w:type="dxa"/>
            <w:vAlign w:val="bottom"/>
          </w:tcPr>
          <w:p>
            <w:pPr>
              <w:ind w:left="112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304"/>
        </w:trPr>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EXHIBIT NO.</w:t>
            </w:r>
          </w:p>
        </w:tc>
        <w:tc>
          <w:tcPr>
            <w:tcW w:w="10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2"/>
                <w:szCs w:val="12"/>
                <w:color w:val="auto"/>
              </w:rPr>
              <w:t>DESCRIPTION</w:t>
            </w:r>
          </w:p>
        </w:tc>
      </w:tr>
      <w:tr>
        <w:trPr>
          <w:trHeight w:val="135"/>
        </w:trPr>
        <w:tc>
          <w:tcPr>
            <w:tcW w:w="1560" w:type="dxa"/>
            <w:vAlign w:val="bottom"/>
            <w:tcBorders>
              <w:bottom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99.1</w:t>
            </w:r>
          </w:p>
        </w:tc>
        <w:tc>
          <w:tcPr>
            <w:tcW w:w="100" w:type="dxa"/>
            <w:vAlign w:val="bottom"/>
            <w:tcBorders>
              <w:bottom w:val="single" w:sz="8" w:color="CCEEFF"/>
            </w:tcBorders>
            <w:shd w:val="clear" w:color="auto" w:fill="CCEEFF"/>
          </w:tcPr>
          <w:p>
            <w:pPr>
              <w:spacing w:after="0"/>
              <w:rPr>
                <w:sz w:val="11"/>
                <w:szCs w:val="11"/>
                <w:color w:val="auto"/>
              </w:rPr>
            </w:pPr>
          </w:p>
        </w:tc>
        <w:tc>
          <w:tcPr>
            <w:tcW w:w="2400" w:type="dxa"/>
            <w:vAlign w:val="bottom"/>
            <w:tcBorders>
              <w:bottom w:val="single" w:sz="8" w:color="0000EE"/>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w w:val="99"/>
              </w:rPr>
              <w:t>Waldencast plc press release, dated May 21, 2024</w:t>
            </w:r>
          </w:p>
        </w:tc>
        <w:tc>
          <w:tcPr>
            <w:tcW w:w="7240" w:type="dxa"/>
            <w:vAlign w:val="bottom"/>
            <w:tcBorders>
              <w:bottom w:val="single" w:sz="8" w:color="CCEEFF"/>
            </w:tcBorders>
            <w:shd w:val="clear" w:color="auto" w:fill="CCEEFF"/>
          </w:tcPr>
          <w:p>
            <w:pPr>
              <w:spacing w:after="0"/>
              <w:rPr>
                <w:sz w:val="11"/>
                <w:szCs w:val="11"/>
                <w:color w:val="auto"/>
              </w:rPr>
            </w:pPr>
          </w:p>
        </w:tc>
      </w:tr>
      <w:tr>
        <w:trPr>
          <w:trHeight w:val="167"/>
        </w:trPr>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99.2</w:t>
            </w:r>
          </w:p>
        </w:tc>
        <w:tc>
          <w:tcPr>
            <w:tcW w:w="10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2"/>
                <w:szCs w:val="12"/>
                <w:color w:val="0000FF"/>
                <w:w w:val="99"/>
              </w:rPr>
              <w:t>Waldencast plc presentation for March 2024</w:t>
            </w:r>
          </w:p>
        </w:tc>
        <w:tc>
          <w:tcPr>
            <w:tcW w:w="7500" w:type="dxa"/>
            <w:vAlign w:val="bottom"/>
            <w:tcBorders>
              <w:bottom w:val="single" w:sz="8" w:color="CCEEFF"/>
            </w:tcBorders>
            <w:gridSpan w:val="2"/>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980" w:right="299" w:bottom="1440" w:gutter="0" w:footer="0" w:header="0"/>
        </w:sectPr>
      </w:pPr>
    </w:p>
    <w:bookmarkStart w:id="2" w:name="page3"/>
    <w:bookmarkEnd w:id="2"/>
    <w:p>
      <w:pPr>
        <w:jc w:val="center"/>
        <w:ind w:left="4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Waldencast plc has duly caused this report to be signed on its behalf by the undersigned, thereunto duly authorized.</w:t>
      </w:r>
    </w:p>
    <w:p>
      <w:pPr>
        <w:spacing w:after="0" w:line="19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2"/>
          <w:szCs w:val="12"/>
          <w:color w:val="auto"/>
        </w:rPr>
        <w:t>Waldencast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22225</wp:posOffset>
            </wp:positionV>
            <wp:extent cx="41205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20515" cy="5715"/>
                    </a:xfrm>
                    <a:prstGeom prst="rect">
                      <a:avLst/>
                    </a:prstGeom>
                    <a:noFill/>
                  </pic:spPr>
                </pic:pic>
              </a:graphicData>
            </a:graphic>
          </wp:anchor>
        </w:drawing>
      </w:r>
    </w:p>
    <w:p>
      <w:pPr>
        <w:spacing w:after="0" w:line="2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2"/>
          <w:szCs w:val="12"/>
          <w:color w:val="auto"/>
        </w:rPr>
        <w:t>(Registrant)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Date: May 21, 2024</w:t>
            </w:r>
          </w:p>
        </w:tc>
        <w:tc>
          <w:tcPr>
            <w:tcW w:w="216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By:</w:t>
            </w: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Manuel Manfredi</w:t>
            </w:r>
          </w:p>
        </w:tc>
        <w:tc>
          <w:tcPr>
            <w:tcW w:w="4660" w:type="dxa"/>
            <w:vAlign w:val="bottom"/>
            <w:tcBorders>
              <w:bottom w:val="single" w:sz="8" w:color="auto"/>
            </w:tcBorders>
          </w:tcPr>
          <w:p>
            <w:pPr>
              <w:spacing w:after="0"/>
              <w:rPr>
                <w:sz w:val="14"/>
                <w:szCs w:val="14"/>
                <w:color w:val="auto"/>
              </w:rPr>
            </w:pPr>
          </w:p>
        </w:tc>
      </w:tr>
      <w:tr>
        <w:trPr>
          <w:trHeight w:val="153"/>
        </w:trPr>
        <w:tc>
          <w:tcPr>
            <w:tcW w:w="26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466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Manuel Manfredi</w:t>
            </w:r>
          </w:p>
        </w:tc>
      </w:tr>
      <w:tr>
        <w:trPr>
          <w:trHeight w:val="169"/>
        </w:trPr>
        <w:tc>
          <w:tcPr>
            <w:tcW w:w="2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466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Chief Financial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142" w:right="29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82550</wp:posOffset>
            </wp:positionV>
            <wp:extent cx="2234565"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45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
        <w:spacing w:after="0"/>
        <w:rPr>
          <w:sz w:val="20"/>
          <w:szCs w:val="20"/>
          <w:color w:val="auto"/>
        </w:rPr>
      </w:pPr>
      <w:r>
        <w:rPr>
          <w:rFonts w:ascii="Calibri" w:cs="Calibri" w:eastAsia="Calibri" w:hAnsi="Calibri"/>
          <w:sz w:val="16"/>
          <w:szCs w:val="16"/>
          <w:b w:val="1"/>
          <w:bCs w:val="1"/>
          <w:color w:val="181818"/>
        </w:rPr>
        <w:t>Waldencast Reports Q1 2024 Financial Results</w:t>
      </w:r>
    </w:p>
    <w:p>
      <w:pPr>
        <w:spacing w:after="0" w:line="174" w:lineRule="exact"/>
        <w:rPr>
          <w:sz w:val="20"/>
          <w:szCs w:val="20"/>
          <w:color w:val="auto"/>
        </w:rPr>
      </w:pPr>
    </w:p>
    <w:p>
      <w:pPr>
        <w:jc w:val="center"/>
        <w:ind w:right="-7"/>
        <w:spacing w:after="0"/>
        <w:rPr>
          <w:sz w:val="20"/>
          <w:szCs w:val="20"/>
          <w:color w:val="auto"/>
        </w:rPr>
      </w:pPr>
      <w:r>
        <w:rPr>
          <w:rFonts w:ascii="Calibri" w:cs="Calibri" w:eastAsia="Calibri" w:hAnsi="Calibri"/>
          <w:sz w:val="16"/>
          <w:szCs w:val="16"/>
          <w:color w:val="auto"/>
        </w:rPr>
        <w:t xml:space="preserve">$68.3 million </w:t>
      </w:r>
      <w:r>
        <w:rPr>
          <w:rFonts w:ascii="Calibri" w:cs="Calibri" w:eastAsia="Calibri" w:hAnsi="Calibri"/>
          <w:sz w:val="16"/>
          <w:szCs w:val="16"/>
          <w:color w:val="181818"/>
        </w:rPr>
        <w:t>of Net Revenue</w:t>
      </w:r>
    </w:p>
    <w:p>
      <w:pPr>
        <w:spacing w:after="0" w:line="12" w:lineRule="exact"/>
        <w:rPr>
          <w:sz w:val="20"/>
          <w:szCs w:val="20"/>
          <w:color w:val="auto"/>
        </w:rPr>
      </w:pPr>
    </w:p>
    <w:p>
      <w:pPr>
        <w:jc w:val="center"/>
        <w:ind w:right="-7"/>
        <w:spacing w:after="0"/>
        <w:rPr>
          <w:sz w:val="20"/>
          <w:szCs w:val="20"/>
          <w:color w:val="auto"/>
        </w:rPr>
      </w:pPr>
      <w:r>
        <w:rPr>
          <w:rFonts w:ascii="Calibri" w:cs="Calibri" w:eastAsia="Calibri" w:hAnsi="Calibri"/>
          <w:sz w:val="16"/>
          <w:szCs w:val="16"/>
          <w:color w:val="181818"/>
        </w:rPr>
        <w:t>+</w:t>
      </w:r>
      <w:r>
        <w:rPr>
          <w:rFonts w:ascii="Calibri" w:cs="Calibri" w:eastAsia="Calibri" w:hAnsi="Calibri"/>
          <w:sz w:val="16"/>
          <w:szCs w:val="16"/>
          <w:color w:val="000000"/>
        </w:rPr>
        <w:t>21.0%</w:t>
      </w:r>
      <w:r>
        <w:rPr>
          <w:rFonts w:ascii="Calibri" w:cs="Calibri" w:eastAsia="Calibri" w:hAnsi="Calibri"/>
          <w:sz w:val="16"/>
          <w:szCs w:val="16"/>
          <w:color w:val="181818"/>
        </w:rPr>
        <w:t xml:space="preserve"> Comparable Net Revenue: +</w:t>
      </w:r>
      <w:r>
        <w:rPr>
          <w:rFonts w:ascii="Calibri" w:cs="Calibri" w:eastAsia="Calibri" w:hAnsi="Calibri"/>
          <w:sz w:val="16"/>
          <w:szCs w:val="16"/>
          <w:color w:val="000000"/>
        </w:rPr>
        <w:t>20.6%</w:t>
      </w:r>
      <w:r>
        <w:rPr>
          <w:rFonts w:ascii="Calibri" w:cs="Calibri" w:eastAsia="Calibri" w:hAnsi="Calibri"/>
          <w:sz w:val="16"/>
          <w:szCs w:val="16"/>
          <w:color w:val="181818"/>
        </w:rPr>
        <w:t xml:space="preserve"> Obagi Skincare and +</w:t>
      </w:r>
      <w:r>
        <w:rPr>
          <w:rFonts w:ascii="Calibri" w:cs="Calibri" w:eastAsia="Calibri" w:hAnsi="Calibri"/>
          <w:sz w:val="16"/>
          <w:szCs w:val="16"/>
          <w:color w:val="000000"/>
        </w:rPr>
        <w:t>21.5%</w:t>
      </w:r>
      <w:r>
        <w:rPr>
          <w:rFonts w:ascii="Calibri" w:cs="Calibri" w:eastAsia="Calibri" w:hAnsi="Calibri"/>
          <w:sz w:val="16"/>
          <w:szCs w:val="16"/>
          <w:color w:val="181818"/>
        </w:rPr>
        <w:t xml:space="preserve"> Milk Makeup</w:t>
      </w:r>
    </w:p>
    <w:p>
      <w:pPr>
        <w:spacing w:after="0" w:line="21" w:lineRule="exact"/>
        <w:rPr>
          <w:sz w:val="20"/>
          <w:szCs w:val="20"/>
          <w:color w:val="auto"/>
        </w:rPr>
      </w:pPr>
    </w:p>
    <w:p>
      <w:pPr>
        <w:jc w:val="center"/>
        <w:ind w:right="-7"/>
        <w:spacing w:after="0"/>
        <w:rPr>
          <w:sz w:val="20"/>
          <w:szCs w:val="20"/>
          <w:color w:val="auto"/>
        </w:rPr>
      </w:pPr>
      <w:r>
        <w:rPr>
          <w:rFonts w:ascii="Calibri" w:cs="Calibri" w:eastAsia="Calibri" w:hAnsi="Calibri"/>
          <w:sz w:val="16"/>
          <w:szCs w:val="16"/>
          <w:color w:val="181818"/>
        </w:rPr>
        <w:t>Adjusted EBITDA of $</w:t>
      </w:r>
      <w:r>
        <w:rPr>
          <w:rFonts w:ascii="Calibri" w:cs="Calibri" w:eastAsia="Calibri" w:hAnsi="Calibri"/>
          <w:sz w:val="16"/>
          <w:szCs w:val="16"/>
          <w:color w:val="000000"/>
        </w:rPr>
        <w:t>11.4</w:t>
      </w:r>
      <w:r>
        <w:rPr>
          <w:rFonts w:ascii="Calibri" w:cs="Calibri" w:eastAsia="Calibri" w:hAnsi="Calibri"/>
          <w:sz w:val="16"/>
          <w:szCs w:val="16"/>
          <w:color w:val="181818"/>
        </w:rPr>
        <w:t xml:space="preserve"> million, up +</w:t>
      </w:r>
      <w:r>
        <w:rPr>
          <w:rFonts w:ascii="Calibri" w:cs="Calibri" w:eastAsia="Calibri" w:hAnsi="Calibri"/>
          <w:sz w:val="16"/>
          <w:szCs w:val="16"/>
          <w:color w:val="000000"/>
        </w:rPr>
        <w:t>12.9%</w:t>
      </w:r>
      <w:r>
        <w:rPr>
          <w:rFonts w:ascii="Calibri" w:cs="Calibri" w:eastAsia="Calibri" w:hAnsi="Calibri"/>
          <w:sz w:val="16"/>
          <w:szCs w:val="16"/>
          <w:color w:val="181818"/>
        </w:rPr>
        <w:t xml:space="preserve"> vs </w:t>
      </w:r>
      <w:r>
        <w:rPr>
          <w:rFonts w:ascii="Calibri" w:cs="Calibri" w:eastAsia="Calibri" w:hAnsi="Calibri"/>
          <w:sz w:val="16"/>
          <w:szCs w:val="16"/>
          <w:color w:val="000000"/>
        </w:rPr>
        <w:t>Q1 2023</w:t>
      </w:r>
    </w:p>
    <w:p>
      <w:pPr>
        <w:spacing w:after="0" w:line="177" w:lineRule="exact"/>
        <w:rPr>
          <w:sz w:val="20"/>
          <w:szCs w:val="20"/>
          <w:color w:val="auto"/>
        </w:rPr>
      </w:pPr>
    </w:p>
    <w:p>
      <w:pPr>
        <w:jc w:val="both"/>
        <w:ind w:left="8"/>
        <w:spacing w:after="0" w:line="263" w:lineRule="auto"/>
        <w:rPr>
          <w:sz w:val="20"/>
          <w:szCs w:val="20"/>
          <w:color w:val="auto"/>
        </w:rPr>
      </w:pPr>
      <w:r>
        <w:rPr>
          <w:rFonts w:ascii="Calibri" w:cs="Calibri" w:eastAsia="Calibri" w:hAnsi="Calibri"/>
          <w:sz w:val="13"/>
          <w:szCs w:val="13"/>
          <w:b w:val="1"/>
          <w:bCs w:val="1"/>
          <w:color w:val="181818"/>
        </w:rPr>
        <w:t xml:space="preserve">May 21, 2024 – White Plains, New York </w:t>
      </w:r>
      <w:r>
        <w:rPr>
          <w:rFonts w:ascii="Calibri" w:cs="Calibri" w:eastAsia="Calibri" w:hAnsi="Calibri"/>
          <w:sz w:val="13"/>
          <w:szCs w:val="13"/>
          <w:color w:val="181818"/>
        </w:rPr>
        <w:t>– Waldencast plc (NASDAQ: WALD) (“Waldencast” or the “Company”),</w:t>
      </w:r>
      <w:r>
        <w:rPr>
          <w:rFonts w:ascii="Calibri" w:cs="Calibri" w:eastAsia="Calibri" w:hAnsi="Calibri"/>
          <w:sz w:val="13"/>
          <w:szCs w:val="13"/>
          <w:b w:val="1"/>
          <w:bCs w:val="1"/>
          <w:color w:val="181818"/>
        </w:rPr>
        <w:t xml:space="preserve"> </w:t>
      </w:r>
      <w:r>
        <w:rPr>
          <w:rFonts w:ascii="Calibri" w:cs="Calibri" w:eastAsia="Calibri" w:hAnsi="Calibri"/>
          <w:sz w:val="13"/>
          <w:szCs w:val="13"/>
          <w:color w:val="000000"/>
        </w:rPr>
        <w:t>a global mult-brand beauty and wellness platorm, today reported operatng results</w:t>
      </w:r>
      <w:r>
        <w:rPr>
          <w:rFonts w:ascii="Calibri" w:cs="Calibri" w:eastAsia="Calibri" w:hAnsi="Calibri"/>
          <w:sz w:val="13"/>
          <w:szCs w:val="13"/>
          <w:b w:val="1"/>
          <w:bCs w:val="1"/>
          <w:color w:val="181818"/>
        </w:rPr>
        <w:t xml:space="preserve"> </w:t>
      </w:r>
      <w:r>
        <w:rPr>
          <w:rFonts w:ascii="Calibri" w:cs="Calibri" w:eastAsia="Calibri" w:hAnsi="Calibri"/>
          <w:sz w:val="13"/>
          <w:szCs w:val="13"/>
          <w:color w:val="181818"/>
        </w:rPr>
        <w:t>for the</w:t>
      </w:r>
      <w:r>
        <w:rPr>
          <w:rFonts w:ascii="Calibri" w:cs="Calibri" w:eastAsia="Calibri" w:hAnsi="Calibri"/>
          <w:sz w:val="13"/>
          <w:szCs w:val="13"/>
          <w:b w:val="1"/>
          <w:bCs w:val="1"/>
          <w:color w:val="181818"/>
        </w:rPr>
        <w:t xml:space="preserve"> </w:t>
      </w:r>
      <w:r>
        <w:rPr>
          <w:rFonts w:ascii="Calibri" w:cs="Calibri" w:eastAsia="Calibri" w:hAnsi="Calibri"/>
          <w:sz w:val="13"/>
          <w:szCs w:val="13"/>
          <w:color w:val="181818"/>
        </w:rPr>
        <w:t>quarter ended March 31, 2024 (“Q1 2024 Financials”) on Form 6-K to the U.S. Securites and Exchange Commission, which are also available on the Company's investor relatons site at htp://ir.waldencast.com/.</w:t>
      </w:r>
    </w:p>
    <w:p>
      <w:pPr>
        <w:spacing w:after="0" w:line="318" w:lineRule="exact"/>
        <w:rPr>
          <w:sz w:val="20"/>
          <w:szCs w:val="20"/>
          <w:color w:val="auto"/>
        </w:rPr>
      </w:pPr>
    </w:p>
    <w:p>
      <w:pPr>
        <w:jc w:val="both"/>
        <w:ind w:left="8"/>
        <w:spacing w:after="0" w:line="239" w:lineRule="auto"/>
        <w:rPr>
          <w:sz w:val="20"/>
          <w:szCs w:val="20"/>
          <w:color w:val="auto"/>
        </w:rPr>
      </w:pPr>
      <w:r>
        <w:rPr>
          <w:rFonts w:ascii="Calibri" w:cs="Calibri" w:eastAsia="Calibri" w:hAnsi="Calibri"/>
          <w:sz w:val="13"/>
          <w:szCs w:val="13"/>
          <w:color w:val="181818"/>
        </w:rPr>
        <w:t xml:space="preserve">Michel Brousset, Waldencast Founder and CEO, said: ”We had a strong start to the year, growing </w:t>
      </w:r>
      <w:r>
        <w:rPr>
          <w:rFonts w:ascii="Calibri" w:cs="Calibri" w:eastAsia="Calibri" w:hAnsi="Calibri"/>
          <w:sz w:val="13"/>
          <w:szCs w:val="13"/>
          <w:color w:val="000000"/>
        </w:rPr>
        <w:t>21.0% in</w:t>
      </w:r>
      <w:r>
        <w:rPr>
          <w:rFonts w:ascii="Calibri" w:cs="Calibri" w:eastAsia="Calibri" w:hAnsi="Calibri"/>
          <w:sz w:val="13"/>
          <w:szCs w:val="13"/>
          <w:color w:val="181818"/>
        </w:rPr>
        <w:t xml:space="preserve"> Comparable Net Revenue, improving substantally our Gross Margin, and growing double-digits in Adjusted EBITDA. Q1 2024 was a quarter of excitng innovaton, growth of both our brands’ communites, and expansion of our reach in current and new channels of distributon. We enter the second quarter with signifcant momentum and a strengthened operatonal platorm which will allow us to proftably accelerate further our top line. I want to thank the Waldencast team for their commitment and passion that enabled the delivery of this performance"</w:t>
      </w:r>
    </w:p>
    <w:p>
      <w:pPr>
        <w:spacing w:after="0" w:line="166"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u w:val="single" w:color="auto"/>
          <w:color w:val="212529"/>
        </w:rPr>
        <w:t>Beauty Market Context</w:t>
      </w:r>
    </w:p>
    <w:p>
      <w:pPr>
        <w:spacing w:after="0" w:line="12" w:lineRule="exact"/>
        <w:rPr>
          <w:sz w:val="20"/>
          <w:szCs w:val="20"/>
          <w:color w:val="auto"/>
        </w:rPr>
      </w:pPr>
    </w:p>
    <w:p>
      <w:pPr>
        <w:ind w:left="428" w:right="20" w:hanging="212"/>
        <w:spacing w:after="0"/>
        <w:tabs>
          <w:tab w:leader="none" w:pos="423" w:val="left"/>
        </w:tabs>
        <w:numPr>
          <w:ilvl w:val="0"/>
          <w:numId w:val="2"/>
        </w:numPr>
        <w:rPr>
          <w:rFonts w:ascii="Calibri" w:cs="Calibri" w:eastAsia="Calibri" w:hAnsi="Calibri"/>
          <w:sz w:val="13"/>
          <w:szCs w:val="13"/>
          <w:color w:val="181818"/>
        </w:rPr>
      </w:pPr>
      <w:r>
        <w:rPr>
          <w:rFonts w:ascii="Calibri" w:cs="Calibri" w:eastAsia="Calibri" w:hAnsi="Calibri"/>
          <w:sz w:val="13"/>
          <w:szCs w:val="13"/>
          <w:color w:val="181818"/>
        </w:rPr>
        <w:t>Prestge Beauty closed 2023 at +14%</w:t>
      </w:r>
      <w:r>
        <w:rPr>
          <w:rFonts w:ascii="Calibri" w:cs="Calibri" w:eastAsia="Calibri" w:hAnsi="Calibri"/>
          <w:sz w:val="17"/>
          <w:szCs w:val="17"/>
          <w:color w:val="181818"/>
          <w:vertAlign w:val="superscript"/>
        </w:rPr>
        <w:t>1</w:t>
      </w:r>
      <w:r>
        <w:rPr>
          <w:rFonts w:ascii="Calibri" w:cs="Calibri" w:eastAsia="Calibri" w:hAnsi="Calibri"/>
          <w:sz w:val="13"/>
          <w:szCs w:val="13"/>
          <w:color w:val="181818"/>
        </w:rPr>
        <w:t>, more than double Mass Beauty. This momentum contnued albeit with a moderatng trend in Q1, with Prestge Beauty growing +9%</w:t>
      </w:r>
      <w:r>
        <w:rPr>
          <w:rFonts w:ascii="Calibri" w:cs="Calibri" w:eastAsia="Calibri" w:hAnsi="Calibri"/>
          <w:sz w:val="17"/>
          <w:szCs w:val="17"/>
          <w:color w:val="181818"/>
          <w:vertAlign w:val="superscript"/>
        </w:rPr>
        <w:t>2</w:t>
      </w:r>
      <w:r>
        <w:rPr>
          <w:rFonts w:ascii="Calibri" w:cs="Calibri" w:eastAsia="Calibri" w:hAnsi="Calibri"/>
          <w:sz w:val="13"/>
          <w:szCs w:val="13"/>
          <w:color w:val="181818"/>
        </w:rPr>
        <w:t>, stll ahead of its historical growth.</w:t>
      </w:r>
    </w:p>
    <w:p>
      <w:pPr>
        <w:spacing w:after="0" w:line="123" w:lineRule="exact"/>
        <w:rPr>
          <w:rFonts w:ascii="Calibri" w:cs="Calibri" w:eastAsia="Calibri" w:hAnsi="Calibri"/>
          <w:sz w:val="13"/>
          <w:szCs w:val="13"/>
          <w:color w:val="181818"/>
        </w:rPr>
      </w:pPr>
    </w:p>
    <w:p>
      <w:pPr>
        <w:ind w:left="428" w:hanging="212"/>
        <w:spacing w:after="0"/>
        <w:tabs>
          <w:tab w:leader="none" w:pos="428" w:val="left"/>
        </w:tabs>
        <w:numPr>
          <w:ilvl w:val="0"/>
          <w:numId w:val="2"/>
        </w:numPr>
        <w:rPr>
          <w:rFonts w:ascii="Calibri" w:cs="Calibri" w:eastAsia="Calibri" w:hAnsi="Calibri"/>
          <w:sz w:val="13"/>
          <w:szCs w:val="13"/>
          <w:color w:val="181818"/>
        </w:rPr>
      </w:pPr>
      <w:r>
        <w:rPr>
          <w:rFonts w:ascii="Calibri" w:cs="Calibri" w:eastAsia="Calibri" w:hAnsi="Calibri"/>
          <w:sz w:val="13"/>
          <w:szCs w:val="13"/>
          <w:color w:val="181818"/>
        </w:rPr>
        <w:t>Prestge Skin Care grew at +10%</w:t>
      </w:r>
      <w:r>
        <w:rPr>
          <w:rFonts w:ascii="Calibri" w:cs="Calibri" w:eastAsia="Calibri" w:hAnsi="Calibri"/>
          <w:sz w:val="17"/>
          <w:szCs w:val="17"/>
          <w:color w:val="181818"/>
          <w:vertAlign w:val="superscript"/>
        </w:rPr>
        <w:t>2</w:t>
      </w:r>
      <w:r>
        <w:rPr>
          <w:rFonts w:ascii="Calibri" w:cs="Calibri" w:eastAsia="Calibri" w:hAnsi="Calibri"/>
          <w:sz w:val="13"/>
          <w:szCs w:val="13"/>
          <w:color w:val="181818"/>
        </w:rPr>
        <w:t xml:space="preserve"> in Q1 through premiumizaton as consumers increasingly look for higher levels of performance and skin transformatve products.</w:t>
      </w:r>
    </w:p>
    <w:p>
      <w:pPr>
        <w:ind w:left="428" w:hanging="212"/>
        <w:spacing w:after="0" w:line="198" w:lineRule="auto"/>
        <w:tabs>
          <w:tab w:leader="none" w:pos="423" w:val="left"/>
        </w:tabs>
        <w:numPr>
          <w:ilvl w:val="0"/>
          <w:numId w:val="2"/>
        </w:numPr>
        <w:rPr>
          <w:rFonts w:ascii="Calibri" w:cs="Calibri" w:eastAsia="Calibri" w:hAnsi="Calibri"/>
          <w:sz w:val="13"/>
          <w:szCs w:val="13"/>
          <w:color w:val="181818"/>
        </w:rPr>
      </w:pPr>
      <w:r>
        <w:rPr>
          <w:rFonts w:ascii="Calibri" w:cs="Calibri" w:eastAsia="Calibri" w:hAnsi="Calibri"/>
          <w:sz w:val="13"/>
          <w:szCs w:val="13"/>
          <w:color w:val="181818"/>
        </w:rPr>
        <w:t>Prestge Make Up, previously the fastest growing category within beauty, registered a growth of +5%</w:t>
      </w:r>
      <w:r>
        <w:rPr>
          <w:rFonts w:ascii="Calibri" w:cs="Calibri" w:eastAsia="Calibri" w:hAnsi="Calibri"/>
          <w:sz w:val="17"/>
          <w:szCs w:val="17"/>
          <w:color w:val="181818"/>
          <w:vertAlign w:val="superscript"/>
        </w:rPr>
        <w:t>2</w:t>
      </w:r>
      <w:r>
        <w:rPr>
          <w:rFonts w:ascii="Calibri" w:cs="Calibri" w:eastAsia="Calibri" w:hAnsi="Calibri"/>
          <w:sz w:val="13"/>
          <w:szCs w:val="13"/>
          <w:color w:val="181818"/>
        </w:rPr>
        <w:t xml:space="preserve"> in Q1 as the category normalized afer the post Covid rebound. This rate of growth is expected to accelerate driven by the rise in popularity and sophistcaton of make up amongst younger consumers.</w:t>
      </w:r>
    </w:p>
    <w:p>
      <w:pPr>
        <w:spacing w:after="0" w:line="164"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u w:val="single" w:color="auto"/>
          <w:color w:val="212529"/>
        </w:rPr>
        <w:t>Q1 2024 Results Overview &amp; FY 2024 Outlook</w:t>
      </w:r>
    </w:p>
    <w:p>
      <w:pPr>
        <w:spacing w:after="0" w:line="12" w:lineRule="exact"/>
        <w:rPr>
          <w:sz w:val="20"/>
          <w:szCs w:val="20"/>
          <w:color w:val="auto"/>
        </w:rPr>
      </w:pPr>
    </w:p>
    <w:p>
      <w:pPr>
        <w:jc w:val="both"/>
        <w:ind w:left="8" w:right="20"/>
        <w:spacing w:after="0" w:line="234" w:lineRule="auto"/>
        <w:rPr>
          <w:sz w:val="20"/>
          <w:szCs w:val="20"/>
          <w:color w:val="auto"/>
        </w:rPr>
      </w:pPr>
      <w:r>
        <w:rPr>
          <w:rFonts w:ascii="Calibri" w:cs="Calibri" w:eastAsia="Calibri" w:hAnsi="Calibri"/>
          <w:sz w:val="13"/>
          <w:szCs w:val="13"/>
          <w:i w:val="1"/>
          <w:iCs w:val="1"/>
          <w:color w:val="181818"/>
        </w:rPr>
        <w:t>Please refer to the defnitons and reconciliatons set out further in this release with respect to certain adjusted non-GAAP measures discussed below which are included to provide an easier understanding of the underlying performance of the business but should not be seen as a substtute for the U.S. GAAP numbers presented in this</w:t>
      </w:r>
    </w:p>
    <w:p>
      <w:pPr>
        <w:spacing w:after="0" w:line="13" w:lineRule="exact"/>
        <w:rPr>
          <w:sz w:val="20"/>
          <w:szCs w:val="20"/>
          <w:color w:val="auto"/>
        </w:rPr>
      </w:pPr>
    </w:p>
    <w:p>
      <w:pPr>
        <w:ind w:left="8"/>
        <w:spacing w:after="0"/>
        <w:rPr>
          <w:sz w:val="20"/>
          <w:szCs w:val="20"/>
          <w:color w:val="auto"/>
        </w:rPr>
      </w:pPr>
      <w:r>
        <w:rPr>
          <w:rFonts w:ascii="Calibri" w:cs="Calibri" w:eastAsia="Calibri" w:hAnsi="Calibri"/>
          <w:sz w:val="13"/>
          <w:szCs w:val="13"/>
          <w:i w:val="1"/>
          <w:iCs w:val="1"/>
          <w:color w:val="181818"/>
        </w:rPr>
        <w:t>release.</w:t>
      </w:r>
    </w:p>
    <w:p>
      <w:pPr>
        <w:spacing w:after="0" w:line="167" w:lineRule="exact"/>
        <w:rPr>
          <w:sz w:val="20"/>
          <w:szCs w:val="20"/>
          <w:color w:val="auto"/>
        </w:rPr>
      </w:pPr>
    </w:p>
    <w:p>
      <w:pPr>
        <w:jc w:val="both"/>
        <w:ind w:left="8"/>
        <w:spacing w:after="0" w:line="237" w:lineRule="auto"/>
        <w:rPr>
          <w:sz w:val="20"/>
          <w:szCs w:val="20"/>
          <w:color w:val="auto"/>
        </w:rPr>
      </w:pPr>
      <w:r>
        <w:rPr>
          <w:rFonts w:ascii="Calibri" w:cs="Calibri" w:eastAsia="Calibri" w:hAnsi="Calibri"/>
          <w:sz w:val="13"/>
          <w:szCs w:val="13"/>
          <w:b w:val="1"/>
          <w:bCs w:val="1"/>
          <w:color w:val="212529"/>
        </w:rPr>
        <w:t xml:space="preserve">Net Revenue </w:t>
      </w:r>
      <w:r>
        <w:rPr>
          <w:rFonts w:ascii="Calibri" w:cs="Calibri" w:eastAsia="Calibri" w:hAnsi="Calibri"/>
          <w:sz w:val="13"/>
          <w:szCs w:val="13"/>
          <w:color w:val="212529"/>
        </w:rPr>
        <w:t>for Q1 2024 was $68.3 million. Comparable Net Revenue for the same period (i.e. excluding the China Business), was $67.9 million, a</w:t>
      </w:r>
      <w:r>
        <w:rPr>
          <w:rFonts w:ascii="Calibri" w:cs="Calibri" w:eastAsia="Calibri" w:hAnsi="Calibri"/>
          <w:sz w:val="13"/>
          <w:szCs w:val="13"/>
          <w:b w:val="1"/>
          <w:bCs w:val="1"/>
          <w:color w:val="212529"/>
        </w:rPr>
        <w:t xml:space="preserve"> </w:t>
      </w:r>
      <w:r>
        <w:rPr>
          <w:rFonts w:ascii="Calibri" w:cs="Calibri" w:eastAsia="Calibri" w:hAnsi="Calibri"/>
          <w:sz w:val="13"/>
          <w:szCs w:val="13"/>
          <w:color w:val="000000"/>
        </w:rPr>
        <w:t>21.0%</w:t>
      </w:r>
      <w:r>
        <w:rPr>
          <w:rFonts w:ascii="Calibri" w:cs="Calibri" w:eastAsia="Calibri" w:hAnsi="Calibri"/>
          <w:sz w:val="13"/>
          <w:szCs w:val="13"/>
          <w:b w:val="1"/>
          <w:bCs w:val="1"/>
          <w:color w:val="212529"/>
        </w:rPr>
        <w:t xml:space="preserve"> </w:t>
      </w:r>
      <w:r>
        <w:rPr>
          <w:rFonts w:ascii="Calibri" w:cs="Calibri" w:eastAsia="Calibri" w:hAnsi="Calibri"/>
          <w:sz w:val="13"/>
          <w:szCs w:val="13"/>
          <w:color w:val="212529"/>
        </w:rPr>
        <w:t>increase vs. Q1 2023. In Q1 2023, Net Revenue and</w:t>
      </w:r>
      <w:r>
        <w:rPr>
          <w:rFonts w:ascii="Calibri" w:cs="Calibri" w:eastAsia="Calibri" w:hAnsi="Calibri"/>
          <w:sz w:val="13"/>
          <w:szCs w:val="13"/>
          <w:b w:val="1"/>
          <w:bCs w:val="1"/>
          <w:color w:val="212529"/>
        </w:rPr>
        <w:t xml:space="preserve"> </w:t>
      </w:r>
      <w:r>
        <w:rPr>
          <w:rFonts w:ascii="Calibri" w:cs="Calibri" w:eastAsia="Calibri" w:hAnsi="Calibri"/>
          <w:sz w:val="13"/>
          <w:szCs w:val="13"/>
          <w:color w:val="212529"/>
        </w:rPr>
        <w:t>Adjusted EBITDA included $4.6 million in sales to our former Southeast Asia distributor, all recognized in Q1 upon receipt of cash, while sales were lower in Q1 2024 as we ramp up our new go-to-market structure in the region.</w:t>
      </w:r>
    </w:p>
    <w:p>
      <w:pPr>
        <w:spacing w:after="0" w:line="167"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212529"/>
        </w:rPr>
        <w:t xml:space="preserve">Gross Proft </w:t>
      </w:r>
      <w:r>
        <w:rPr>
          <w:rFonts w:ascii="Calibri" w:cs="Calibri" w:eastAsia="Calibri" w:hAnsi="Calibri"/>
          <w:sz w:val="13"/>
          <w:szCs w:val="13"/>
          <w:color w:val="212529"/>
        </w:rPr>
        <w:t>for Q1 2024 was $49.6 million, compared to Gross Proft of $37.0 million in Q1 2023.</w:t>
      </w:r>
    </w:p>
    <w:p>
      <w:pPr>
        <w:spacing w:after="0" w:line="200" w:lineRule="exact"/>
        <w:rPr>
          <w:sz w:val="20"/>
          <w:szCs w:val="20"/>
          <w:color w:val="auto"/>
        </w:rPr>
      </w:pPr>
    </w:p>
    <w:p>
      <w:pPr>
        <w:spacing w:after="0" w:line="208" w:lineRule="exact"/>
        <w:rPr>
          <w:sz w:val="20"/>
          <w:szCs w:val="20"/>
          <w:color w:val="auto"/>
        </w:rPr>
      </w:pPr>
    </w:p>
    <w:p>
      <w:pPr>
        <w:ind w:left="68" w:hanging="68"/>
        <w:spacing w:after="0"/>
        <w:tabs>
          <w:tab w:leader="none" w:pos="68" w:val="left"/>
        </w:tabs>
        <w:numPr>
          <w:ilvl w:val="0"/>
          <w:numId w:val="3"/>
        </w:numPr>
        <w:rPr>
          <w:rFonts w:ascii="Calibri" w:cs="Calibri" w:eastAsia="Calibri" w:hAnsi="Calibri"/>
          <w:sz w:val="14"/>
          <w:szCs w:val="14"/>
          <w:color w:val="auto"/>
          <w:vertAlign w:val="superscript"/>
        </w:rPr>
      </w:pPr>
      <w:r>
        <w:rPr>
          <w:rFonts w:ascii="Calibri" w:cs="Calibri" w:eastAsia="Calibri" w:hAnsi="Calibri"/>
          <w:sz w:val="11"/>
          <w:szCs w:val="11"/>
          <w:color w:val="auto"/>
        </w:rPr>
        <w:t>Circana, U.S. Prestge Beauty Total Measured Market and OmniMarket Core Outlets, dollar sales January-December 2023 versus 2022.</w:t>
      </w:r>
    </w:p>
    <w:p>
      <w:pPr>
        <w:spacing w:after="0" w:line="19" w:lineRule="exact"/>
        <w:rPr>
          <w:rFonts w:ascii="Calibri" w:cs="Calibri" w:eastAsia="Calibri" w:hAnsi="Calibri"/>
          <w:sz w:val="14"/>
          <w:szCs w:val="14"/>
          <w:color w:val="auto"/>
          <w:vertAlign w:val="superscript"/>
        </w:rPr>
      </w:pPr>
    </w:p>
    <w:p>
      <w:pPr>
        <w:ind w:left="8"/>
        <w:spacing w:after="0" w:line="196" w:lineRule="auto"/>
        <w:rPr>
          <w:rFonts w:ascii="Calibri" w:cs="Calibri" w:eastAsia="Calibri" w:hAnsi="Calibri"/>
          <w:sz w:val="14"/>
          <w:szCs w:val="14"/>
          <w:color w:val="auto"/>
          <w:vertAlign w:val="superscript"/>
        </w:rPr>
      </w:pPr>
      <w:r>
        <w:rPr>
          <w:rFonts w:ascii="Calibri" w:cs="Calibri" w:eastAsia="Calibri" w:hAnsi="Calibri"/>
          <w:sz w:val="14"/>
          <w:szCs w:val="14"/>
          <w:color w:val="auto"/>
          <w:vertAlign w:val="superscript"/>
        </w:rPr>
        <w:t>2</w:t>
      </w:r>
      <w:r>
        <w:rPr>
          <w:rFonts w:ascii="Calibri" w:cs="Calibri" w:eastAsia="Calibri" w:hAnsi="Calibri"/>
          <w:sz w:val="11"/>
          <w:szCs w:val="11"/>
          <w:color w:val="auto"/>
        </w:rPr>
        <w:t xml:space="preserve"> Circana, U.S. Prestge Beauty Total Measured Market and OmniMarket Core Outlets, dollar sales January-March 2024 versus 2023.</w:t>
      </w:r>
    </w:p>
    <w:p>
      <w:pPr>
        <w:sectPr>
          <w:pgSz w:w="11900" w:h="16838" w:orient="portrait"/>
          <w:cols w:equalWidth="0" w:num="1">
            <w:col w:w="11308"/>
          </w:cols>
          <w:pgMar w:left="292" w:top="670" w:right="299" w:bottom="1440" w:gutter="0" w:footer="0" w:header="0"/>
        </w:sectPr>
      </w:pPr>
    </w:p>
    <w:bookmarkStart w:id="4" w:name="page5"/>
    <w:bookmarkEnd w:id="4"/>
    <w:p>
      <w:pPr>
        <w:jc w:val="both"/>
        <w:spacing w:after="0" w:line="237" w:lineRule="auto"/>
        <w:rPr>
          <w:sz w:val="20"/>
          <w:szCs w:val="20"/>
          <w:color w:val="auto"/>
        </w:rPr>
      </w:pPr>
      <w:r>
        <w:rPr>
          <w:rFonts w:ascii="Calibri" w:cs="Calibri" w:eastAsia="Calibri" w:hAnsi="Calibri"/>
          <w:sz w:val="13"/>
          <w:szCs w:val="13"/>
          <w:b w:val="1"/>
          <w:bCs w:val="1"/>
          <w:color w:val="212529"/>
        </w:rPr>
        <w:t xml:space="preserve">Adjusted Gross Proft </w:t>
      </w:r>
      <w:r>
        <w:rPr>
          <w:rFonts w:ascii="Calibri" w:cs="Calibri" w:eastAsia="Calibri" w:hAnsi="Calibri"/>
          <w:sz w:val="13"/>
          <w:szCs w:val="13"/>
          <w:color w:val="212529"/>
        </w:rPr>
        <w:t>for Q1 2024 was $52.1 million, a</w:t>
      </w:r>
      <w:r>
        <w:rPr>
          <w:rFonts w:ascii="Calibri" w:cs="Calibri" w:eastAsia="Calibri" w:hAnsi="Calibri"/>
          <w:sz w:val="13"/>
          <w:szCs w:val="13"/>
          <w:b w:val="1"/>
          <w:bCs w:val="1"/>
          <w:color w:val="212529"/>
        </w:rPr>
        <w:t xml:space="preserve"> </w:t>
      </w:r>
      <w:r>
        <w:rPr>
          <w:rFonts w:ascii="Calibri" w:cs="Calibri" w:eastAsia="Calibri" w:hAnsi="Calibri"/>
          <w:sz w:val="13"/>
          <w:szCs w:val="13"/>
          <w:color w:val="000000"/>
        </w:rPr>
        <w:t>32.9%</w:t>
      </w:r>
      <w:r>
        <w:rPr>
          <w:rFonts w:ascii="Calibri" w:cs="Calibri" w:eastAsia="Calibri" w:hAnsi="Calibri"/>
          <w:sz w:val="13"/>
          <w:szCs w:val="13"/>
          <w:b w:val="1"/>
          <w:bCs w:val="1"/>
          <w:color w:val="212529"/>
        </w:rPr>
        <w:t xml:space="preserve"> </w:t>
      </w:r>
      <w:r>
        <w:rPr>
          <w:rFonts w:ascii="Calibri" w:cs="Calibri" w:eastAsia="Calibri" w:hAnsi="Calibri"/>
          <w:sz w:val="13"/>
          <w:szCs w:val="13"/>
          <w:color w:val="212529"/>
        </w:rPr>
        <w:t>increase as compared to Adjusted Gross Proft of $39.2 million in Q1 2023. The improvement in Adjusted Gross Proft came from a higher</w:t>
      </w:r>
      <w:r>
        <w:rPr>
          <w:rFonts w:ascii="Calibri" w:cs="Calibri" w:eastAsia="Calibri" w:hAnsi="Calibri"/>
          <w:sz w:val="13"/>
          <w:szCs w:val="13"/>
          <w:b w:val="1"/>
          <w:bCs w:val="1"/>
          <w:color w:val="212529"/>
        </w:rPr>
        <w:t xml:space="preserve"> </w:t>
      </w:r>
      <w:r>
        <w:rPr>
          <w:rFonts w:ascii="Calibri" w:cs="Calibri" w:eastAsia="Calibri" w:hAnsi="Calibri"/>
          <w:sz w:val="13"/>
          <w:szCs w:val="13"/>
          <w:color w:val="212529"/>
        </w:rPr>
        <w:t>proporton of e-commerce sales, the shif to a direct model with Amazon, reduced of-price sales, and lower inventory write-ofs compared to Q1 2023. This was partally ofset by the positve impact of sales to the former Southeast Asia distributor in Q1 2023.</w:t>
      </w:r>
    </w:p>
    <w:p>
      <w:pPr>
        <w:spacing w:after="0" w:line="169" w:lineRule="exact"/>
        <w:rPr>
          <w:sz w:val="20"/>
          <w:szCs w:val="20"/>
          <w:color w:val="auto"/>
        </w:rPr>
      </w:pPr>
    </w:p>
    <w:p>
      <w:pPr>
        <w:jc w:val="both"/>
        <w:spacing w:after="0" w:line="234" w:lineRule="auto"/>
        <w:rPr>
          <w:sz w:val="20"/>
          <w:szCs w:val="20"/>
          <w:color w:val="auto"/>
        </w:rPr>
      </w:pPr>
      <w:r>
        <w:rPr>
          <w:rFonts w:ascii="Calibri" w:cs="Calibri" w:eastAsia="Calibri" w:hAnsi="Calibri"/>
          <w:sz w:val="13"/>
          <w:szCs w:val="13"/>
          <w:b w:val="1"/>
          <w:bCs w:val="1"/>
          <w:color w:val="212529"/>
        </w:rPr>
        <w:t xml:space="preserve">Net Loss </w:t>
      </w:r>
      <w:r>
        <w:rPr>
          <w:rFonts w:ascii="Calibri" w:cs="Calibri" w:eastAsia="Calibri" w:hAnsi="Calibri"/>
          <w:sz w:val="13"/>
          <w:szCs w:val="13"/>
          <w:color w:val="212529"/>
        </w:rPr>
        <w:t>for Q1 2024 was $3.9 million, compared to a Net Loss of $13.2 million in Q1 2023 as our results are stll impacted by adjustments related to the FY 2022 restatement and non-cash amortzaton</w:t>
      </w:r>
      <w:r>
        <w:rPr>
          <w:rFonts w:ascii="Calibri" w:cs="Calibri" w:eastAsia="Calibri" w:hAnsi="Calibri"/>
          <w:sz w:val="13"/>
          <w:szCs w:val="13"/>
          <w:b w:val="1"/>
          <w:bCs w:val="1"/>
          <w:color w:val="212529"/>
        </w:rPr>
        <w:t xml:space="preserve"> </w:t>
      </w:r>
      <w:r>
        <w:rPr>
          <w:rFonts w:ascii="Calibri" w:cs="Calibri" w:eastAsia="Calibri" w:hAnsi="Calibri"/>
          <w:sz w:val="13"/>
          <w:szCs w:val="13"/>
          <w:color w:val="212529"/>
        </w:rPr>
        <w:t>related to the Business Combinaton.</w:t>
      </w:r>
    </w:p>
    <w:p>
      <w:pPr>
        <w:spacing w:after="0" w:line="168" w:lineRule="exact"/>
        <w:rPr>
          <w:sz w:val="20"/>
          <w:szCs w:val="20"/>
          <w:color w:val="auto"/>
        </w:rPr>
      </w:pPr>
    </w:p>
    <w:p>
      <w:pPr>
        <w:jc w:val="both"/>
        <w:ind w:right="20"/>
        <w:spacing w:after="0" w:line="242" w:lineRule="auto"/>
        <w:rPr>
          <w:sz w:val="20"/>
          <w:szCs w:val="20"/>
          <w:color w:val="auto"/>
        </w:rPr>
      </w:pPr>
      <w:r>
        <w:rPr>
          <w:rFonts w:ascii="Calibri" w:cs="Calibri" w:eastAsia="Calibri" w:hAnsi="Calibri"/>
          <w:sz w:val="13"/>
          <w:szCs w:val="13"/>
          <w:b w:val="1"/>
          <w:bCs w:val="1"/>
          <w:color w:val="212529"/>
        </w:rPr>
        <w:t xml:space="preserve">Adjusted EBITDA </w:t>
      </w:r>
      <w:r>
        <w:rPr>
          <w:rFonts w:ascii="Calibri" w:cs="Calibri" w:eastAsia="Calibri" w:hAnsi="Calibri"/>
          <w:sz w:val="13"/>
          <w:szCs w:val="13"/>
          <w:color w:val="212529"/>
        </w:rPr>
        <w:t>for Q1 2024 was $11.4 million,</w:t>
      </w:r>
      <w:r>
        <w:rPr>
          <w:rFonts w:ascii="Calibri" w:cs="Calibri" w:eastAsia="Calibri" w:hAnsi="Calibri"/>
          <w:sz w:val="13"/>
          <w:szCs w:val="13"/>
          <w:b w:val="1"/>
          <w:bCs w:val="1"/>
          <w:color w:val="212529"/>
        </w:rPr>
        <w:t xml:space="preserve"> </w:t>
      </w:r>
      <w:r>
        <w:rPr>
          <w:rFonts w:ascii="Calibri" w:cs="Calibri" w:eastAsia="Calibri" w:hAnsi="Calibri"/>
          <w:sz w:val="13"/>
          <w:szCs w:val="13"/>
          <w:color w:val="000000"/>
        </w:rPr>
        <w:t>16.6%</w:t>
      </w:r>
      <w:r>
        <w:rPr>
          <w:rFonts w:ascii="Calibri" w:cs="Calibri" w:eastAsia="Calibri" w:hAnsi="Calibri"/>
          <w:sz w:val="13"/>
          <w:szCs w:val="13"/>
          <w:b w:val="1"/>
          <w:bCs w:val="1"/>
          <w:color w:val="212529"/>
        </w:rPr>
        <w:t xml:space="preserve"> </w:t>
      </w:r>
      <w:r>
        <w:rPr>
          <w:rFonts w:ascii="Calibri" w:cs="Calibri" w:eastAsia="Calibri" w:hAnsi="Calibri"/>
          <w:sz w:val="13"/>
          <w:szCs w:val="13"/>
          <w:color w:val="212529"/>
        </w:rPr>
        <w:t>of Net Revenue compared with an Adjusted EBITDA Margin of</w:t>
      </w:r>
      <w:r>
        <w:rPr>
          <w:rFonts w:ascii="Calibri" w:cs="Calibri" w:eastAsia="Calibri" w:hAnsi="Calibri"/>
          <w:sz w:val="13"/>
          <w:szCs w:val="13"/>
          <w:b w:val="1"/>
          <w:bCs w:val="1"/>
          <w:color w:val="212529"/>
        </w:rPr>
        <w:t xml:space="preserve"> </w:t>
      </w:r>
      <w:r>
        <w:rPr>
          <w:rFonts w:ascii="Calibri" w:cs="Calibri" w:eastAsia="Calibri" w:hAnsi="Calibri"/>
          <w:sz w:val="13"/>
          <w:szCs w:val="13"/>
          <w:color w:val="000000"/>
        </w:rPr>
        <w:t>16.9%</w:t>
      </w:r>
      <w:r>
        <w:rPr>
          <w:rFonts w:ascii="Calibri" w:cs="Calibri" w:eastAsia="Calibri" w:hAnsi="Calibri"/>
          <w:sz w:val="13"/>
          <w:szCs w:val="13"/>
          <w:b w:val="1"/>
          <w:bCs w:val="1"/>
          <w:color w:val="212529"/>
        </w:rPr>
        <w:t xml:space="preserve"> </w:t>
      </w:r>
      <w:r>
        <w:rPr>
          <w:rFonts w:ascii="Calibri" w:cs="Calibri" w:eastAsia="Calibri" w:hAnsi="Calibri"/>
          <w:sz w:val="13"/>
          <w:szCs w:val="13"/>
          <w:color w:val="212529"/>
        </w:rPr>
        <w:t>in Q1 2023. The robust growth in more proftable channels of distributon,</w:t>
      </w:r>
      <w:r>
        <w:rPr>
          <w:rFonts w:ascii="Calibri" w:cs="Calibri" w:eastAsia="Calibri" w:hAnsi="Calibri"/>
          <w:sz w:val="13"/>
          <w:szCs w:val="13"/>
          <w:b w:val="1"/>
          <w:bCs w:val="1"/>
          <w:color w:val="212529"/>
        </w:rPr>
        <w:t xml:space="preserve"> </w:t>
      </w:r>
      <w:r>
        <w:rPr>
          <w:rFonts w:ascii="Calibri" w:cs="Calibri" w:eastAsia="Calibri" w:hAnsi="Calibri"/>
          <w:sz w:val="13"/>
          <w:szCs w:val="13"/>
          <w:color w:val="212529"/>
        </w:rPr>
        <w:t>expansion of Adjusted Gross Margin, and operatonal leverage across the Group were mitgated by increased investment in future growth.</w:t>
      </w:r>
    </w:p>
    <w:p>
      <w:pPr>
        <w:spacing w:after="0" w:line="157" w:lineRule="exact"/>
        <w:rPr>
          <w:sz w:val="20"/>
          <w:szCs w:val="20"/>
          <w:color w:val="auto"/>
        </w:rPr>
      </w:pPr>
    </w:p>
    <w:p>
      <w:pPr>
        <w:jc w:val="both"/>
        <w:ind w:right="20"/>
        <w:spacing w:after="0" w:line="242" w:lineRule="auto"/>
        <w:rPr>
          <w:sz w:val="20"/>
          <w:szCs w:val="20"/>
          <w:color w:val="auto"/>
        </w:rPr>
      </w:pPr>
      <w:r>
        <w:rPr>
          <w:rFonts w:ascii="Calibri" w:cs="Calibri" w:eastAsia="Calibri" w:hAnsi="Calibri"/>
          <w:sz w:val="13"/>
          <w:szCs w:val="13"/>
          <w:b w:val="1"/>
          <w:bCs w:val="1"/>
          <w:color w:val="212529"/>
        </w:rPr>
        <w:t xml:space="preserve">Liquidity: </w:t>
      </w:r>
      <w:r>
        <w:rPr>
          <w:rFonts w:ascii="Calibri" w:cs="Calibri" w:eastAsia="Calibri" w:hAnsi="Calibri"/>
          <w:sz w:val="13"/>
          <w:szCs w:val="13"/>
          <w:color w:val="212529"/>
        </w:rPr>
        <w:t>As of March 31, 2024, we had $26.8 million in cash and cash equivalents and $150.5 million of Net Debt. Positve free cash fow generaton was ofset by non-recurring costs in connecton with the</w:t>
      </w:r>
      <w:r>
        <w:rPr>
          <w:rFonts w:ascii="Calibri" w:cs="Calibri" w:eastAsia="Calibri" w:hAnsi="Calibri"/>
          <w:sz w:val="13"/>
          <w:szCs w:val="13"/>
          <w:b w:val="1"/>
          <w:bCs w:val="1"/>
          <w:color w:val="212529"/>
        </w:rPr>
        <w:t xml:space="preserve"> </w:t>
      </w:r>
      <w:r>
        <w:rPr>
          <w:rFonts w:ascii="Calibri" w:cs="Calibri" w:eastAsia="Calibri" w:hAnsi="Calibri"/>
          <w:sz w:val="13"/>
          <w:szCs w:val="13"/>
          <w:color w:val="212529"/>
        </w:rPr>
        <w:t>restatement of our FY 2022 accounts. In 2024, we remain commited to deleverage while further investng in the development of our brands and the growth of our business.</w:t>
      </w:r>
    </w:p>
    <w:p>
      <w:pPr>
        <w:spacing w:after="0" w:line="157" w:lineRule="exact"/>
        <w:rPr>
          <w:sz w:val="20"/>
          <w:szCs w:val="20"/>
          <w:color w:val="auto"/>
        </w:rPr>
      </w:pPr>
    </w:p>
    <w:p>
      <w:pPr>
        <w:jc w:val="both"/>
        <w:spacing w:after="0" w:line="244" w:lineRule="auto"/>
        <w:rPr>
          <w:sz w:val="20"/>
          <w:szCs w:val="20"/>
          <w:color w:val="auto"/>
        </w:rPr>
      </w:pPr>
      <w:r>
        <w:rPr>
          <w:rFonts w:ascii="Calibri" w:cs="Calibri" w:eastAsia="Calibri" w:hAnsi="Calibri"/>
          <w:sz w:val="13"/>
          <w:szCs w:val="13"/>
          <w:b w:val="1"/>
          <w:bCs w:val="1"/>
          <w:color w:val="212529"/>
        </w:rPr>
        <w:t xml:space="preserve">Fiscal 2024 Outlook: </w:t>
      </w:r>
      <w:r>
        <w:rPr>
          <w:rFonts w:ascii="Calibri" w:cs="Calibri" w:eastAsia="Calibri" w:hAnsi="Calibri"/>
          <w:sz w:val="13"/>
          <w:szCs w:val="13"/>
          <w:color w:val="000000"/>
        </w:rPr>
        <w:t>We expect full year Comparable Net Revenues to grow faster than the growth rate seen in the Q1 2024. Adjusted EBITDA Margin for FY2024 is expected to be in the mid-teens,</w:t>
      </w:r>
      <w:r>
        <w:rPr>
          <w:rFonts w:ascii="Calibri" w:cs="Calibri" w:eastAsia="Calibri" w:hAnsi="Calibri"/>
          <w:sz w:val="13"/>
          <w:szCs w:val="13"/>
          <w:b w:val="1"/>
          <w:bCs w:val="1"/>
          <w:color w:val="212529"/>
        </w:rPr>
        <w:t xml:space="preserve"> </w:t>
      </w:r>
      <w:r>
        <w:rPr>
          <w:rFonts w:ascii="Calibri" w:cs="Calibri" w:eastAsia="Calibri" w:hAnsi="Calibri"/>
          <w:sz w:val="13"/>
          <w:szCs w:val="13"/>
          <w:color w:val="000000"/>
        </w:rPr>
        <w:t>substantally higher than FY 2023 of 11.2%. This will be driven by antcipated improvement of Gross Margin vs. 2023 and diluton of fxed expenses, balanced with efcient investments in sales and marketng growth drivers.</w:t>
      </w:r>
    </w:p>
    <w:p>
      <w:pPr>
        <w:spacing w:after="0" w:line="314"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212529"/>
        </w:rPr>
        <w:t>Q1 2024 Highlights</w:t>
      </w:r>
    </w:p>
    <w:p>
      <w:pPr>
        <w:spacing w:after="0" w:line="396"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2</w:t>
      </w:r>
    </w:p>
    <w:p>
      <w:pPr>
        <w:sectPr>
          <w:pgSz w:w="11900" w:h="16838" w:orient="portrait"/>
          <w:cols w:equalWidth="0" w:num="1">
            <w:col w:w="11300"/>
          </w:cols>
          <w:pgMar w:left="300" w:top="663"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8"/>
        </w:trPr>
        <w:tc>
          <w:tcPr>
            <w:tcW w:w="3040" w:type="dxa"/>
            <w:vAlign w:val="bottom"/>
          </w:tcPr>
          <w:p>
            <w:pPr>
              <w:ind w:left="460"/>
              <w:spacing w:after="0"/>
              <w:rPr>
                <w:sz w:val="20"/>
                <w:szCs w:val="20"/>
                <w:color w:val="auto"/>
              </w:rPr>
            </w:pPr>
            <w:r>
              <w:rPr>
                <w:rFonts w:ascii="Calibri" w:cs="Calibri" w:eastAsia="Calibri" w:hAnsi="Calibri"/>
                <w:sz w:val="13"/>
                <w:szCs w:val="13"/>
                <w:i w:val="1"/>
                <w:iCs w:val="1"/>
                <w:color w:val="212529"/>
              </w:rPr>
              <w:t>U.S. Dollars (in millions except for percentages)</w:t>
            </w:r>
          </w:p>
        </w:tc>
        <w:tc>
          <w:tcPr>
            <w:tcW w:w="30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alibri" w:cs="Calibri" w:eastAsia="Calibri" w:hAnsi="Calibri"/>
                <w:sz w:val="13"/>
                <w:szCs w:val="13"/>
                <w:b w:val="1"/>
                <w:bCs w:val="1"/>
                <w:color w:val="auto"/>
              </w:rPr>
              <w:t>Q1 2024</w:t>
            </w:r>
          </w:p>
        </w:tc>
        <w:tc>
          <w:tcPr>
            <w:tcW w:w="300" w:type="dxa"/>
            <w:vAlign w:val="bottom"/>
          </w:tcPr>
          <w:p>
            <w:pPr>
              <w:spacing w:after="0"/>
              <w:rPr>
                <w:sz w:val="14"/>
                <w:szCs w:val="14"/>
                <w:color w:val="auto"/>
              </w:rPr>
            </w:pPr>
          </w:p>
        </w:tc>
        <w:tc>
          <w:tcPr>
            <w:tcW w:w="760" w:type="dxa"/>
            <w:vAlign w:val="bottom"/>
          </w:tcPr>
          <w:p>
            <w:pPr>
              <w:ind w:left="240"/>
              <w:spacing w:after="0"/>
              <w:rPr>
                <w:sz w:val="20"/>
                <w:szCs w:val="20"/>
                <w:color w:val="auto"/>
              </w:rPr>
            </w:pPr>
            <w:r>
              <w:rPr>
                <w:rFonts w:ascii="Calibri" w:cs="Calibri" w:eastAsia="Calibri" w:hAnsi="Calibri"/>
                <w:sz w:val="13"/>
                <w:szCs w:val="13"/>
                <w:b w:val="1"/>
                <w:bCs w:val="1"/>
                <w:color w:val="auto"/>
              </w:rPr>
              <w:t>Q1 2023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ind w:left="460"/>
              <w:spacing w:after="0"/>
              <w:rPr>
                <w:sz w:val="20"/>
                <w:szCs w:val="20"/>
                <w:color w:val="auto"/>
              </w:rPr>
            </w:pPr>
            <w:r>
              <w:rPr>
                <w:rFonts w:ascii="Calibri" w:cs="Calibri" w:eastAsia="Calibri" w:hAnsi="Calibri"/>
                <w:sz w:val="13"/>
                <w:szCs w:val="13"/>
                <w:b w:val="1"/>
                <w:bCs w:val="1"/>
                <w:color w:val="auto"/>
              </w:rPr>
              <w:t>Growth %</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alibri" w:cs="Calibri" w:eastAsia="Calibri" w:hAnsi="Calibri"/>
                <w:sz w:val="13"/>
                <w:szCs w:val="13"/>
                <w:b w:val="1"/>
                <w:bCs w:val="1"/>
                <w:color w:val="auto"/>
              </w:rPr>
              <w:t>FY 2023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right"/>
              <w:ind w:right="194"/>
              <w:spacing w:after="0"/>
              <w:rPr>
                <w:sz w:val="20"/>
                <w:szCs w:val="20"/>
                <w:color w:val="auto"/>
              </w:rPr>
            </w:pPr>
            <w:r>
              <w:rPr>
                <w:rFonts w:ascii="Calibri" w:cs="Calibri" w:eastAsia="Calibri" w:hAnsi="Calibri"/>
                <w:sz w:val="13"/>
                <w:szCs w:val="13"/>
                <w:b w:val="1"/>
                <w:bCs w:val="1"/>
                <w:color w:val="auto"/>
              </w:rPr>
              <w:t>Growth vs FY 2022</w:t>
            </w:r>
          </w:p>
        </w:tc>
      </w:tr>
      <w:tr>
        <w:trPr>
          <w:trHeight w:val="31"/>
        </w:trPr>
        <w:tc>
          <w:tcPr>
            <w:tcW w:w="3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0"/>
        </w:trPr>
        <w:tc>
          <w:tcPr>
            <w:tcW w:w="3040" w:type="dxa"/>
            <w:vAlign w:val="bottom"/>
            <w:shd w:val="clear" w:color="auto" w:fill="CCEEFF"/>
          </w:tcPr>
          <w:p>
            <w:pPr>
              <w:spacing w:after="0" w:line="137" w:lineRule="exact"/>
              <w:rPr>
                <w:sz w:val="20"/>
                <w:szCs w:val="20"/>
                <w:color w:val="auto"/>
              </w:rPr>
            </w:pPr>
            <w:r>
              <w:rPr>
                <w:rFonts w:ascii="Calibri" w:cs="Calibri" w:eastAsia="Calibri" w:hAnsi="Calibri"/>
                <w:sz w:val="13"/>
                <w:szCs w:val="13"/>
                <w:b w:val="1"/>
                <w:bCs w:val="1"/>
                <w:color w:val="auto"/>
              </w:rPr>
              <w:t>Net Revenue</w:t>
            </w:r>
          </w:p>
        </w:tc>
        <w:tc>
          <w:tcPr>
            <w:tcW w:w="300" w:type="dxa"/>
            <w:vAlign w:val="bottom"/>
            <w:shd w:val="clear" w:color="auto" w:fill="CCEEFF"/>
          </w:tcPr>
          <w:p>
            <w:pPr>
              <w:jc w:val="right"/>
              <w:ind w:right="154"/>
              <w:spacing w:after="0" w:line="157" w:lineRule="exact"/>
              <w:rPr>
                <w:sz w:val="20"/>
                <w:szCs w:val="20"/>
                <w:color w:val="auto"/>
              </w:rPr>
            </w:pPr>
            <w:r>
              <w:rPr>
                <w:rFonts w:ascii="Calibri" w:cs="Calibri" w:eastAsia="Calibri" w:hAnsi="Calibri"/>
                <w:sz w:val="13"/>
                <w:szCs w:val="13"/>
                <w:b w:val="1"/>
                <w:bCs w:val="1"/>
                <w:color w:val="auto"/>
                <w:w w:val="90"/>
              </w:rPr>
              <w:t>$</w:t>
            </w:r>
          </w:p>
        </w:tc>
        <w:tc>
          <w:tcPr>
            <w:tcW w:w="120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b w:val="1"/>
                <w:bCs w:val="1"/>
                <w:color w:val="auto"/>
              </w:rPr>
              <w:t>68.3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4"/>
              <w:spacing w:after="0" w:line="157" w:lineRule="exact"/>
              <w:rPr>
                <w:sz w:val="20"/>
                <w:szCs w:val="20"/>
                <w:color w:val="auto"/>
              </w:rPr>
            </w:pPr>
            <w:r>
              <w:rPr>
                <w:rFonts w:ascii="Calibri" w:cs="Calibri" w:eastAsia="Calibri" w:hAnsi="Calibri"/>
                <w:sz w:val="13"/>
                <w:szCs w:val="13"/>
                <w:b w:val="1"/>
                <w:bCs w:val="1"/>
                <w:color w:val="auto"/>
                <w:w w:val="90"/>
              </w:rPr>
              <w:t>$</w:t>
            </w: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b w:val="1"/>
                <w:bCs w:val="1"/>
                <w:color w:val="auto"/>
              </w:rPr>
              <w:t>60.0</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13.8 %</w:t>
            </w: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74"/>
              <w:spacing w:after="0" w:line="157" w:lineRule="exact"/>
              <w:rPr>
                <w:sz w:val="20"/>
                <w:szCs w:val="20"/>
                <w:color w:val="auto"/>
              </w:rPr>
            </w:pPr>
            <w:r>
              <w:rPr>
                <w:rFonts w:ascii="Calibri" w:cs="Calibri" w:eastAsia="Calibri" w:hAnsi="Calibri"/>
                <w:sz w:val="13"/>
                <w:szCs w:val="13"/>
                <w:b w:val="1"/>
                <w:bCs w:val="1"/>
                <w:color w:val="auto"/>
                <w:w w:val="90"/>
              </w:rPr>
              <w:t>$</w:t>
            </w:r>
          </w:p>
        </w:tc>
        <w:tc>
          <w:tcPr>
            <w:tcW w:w="50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b w:val="1"/>
                <w:bCs w:val="1"/>
                <w:color w:val="auto"/>
              </w:rPr>
              <w:t>218.1</w:t>
            </w: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5.2 %</w:t>
            </w:r>
          </w:p>
        </w:tc>
      </w:tr>
      <w:tr>
        <w:trPr>
          <w:trHeight w:val="164"/>
        </w:trPr>
        <w:tc>
          <w:tcPr>
            <w:tcW w:w="3040" w:type="dxa"/>
            <w:vAlign w:val="bottom"/>
          </w:tcPr>
          <w:p>
            <w:pPr>
              <w:ind w:left="220"/>
              <w:spacing w:after="0" w:line="157" w:lineRule="exact"/>
              <w:rPr>
                <w:sz w:val="20"/>
                <w:szCs w:val="20"/>
                <w:color w:val="auto"/>
              </w:rPr>
            </w:pPr>
            <w:r>
              <w:rPr>
                <w:rFonts w:ascii="Calibri" w:cs="Calibri" w:eastAsia="Calibri" w:hAnsi="Calibri"/>
                <w:sz w:val="13"/>
                <w:szCs w:val="13"/>
                <w:color w:val="auto"/>
              </w:rPr>
              <w:t>Obagi Skincare</w:t>
            </w:r>
          </w:p>
        </w:tc>
        <w:tc>
          <w:tcPr>
            <w:tcW w:w="300" w:type="dxa"/>
            <w:vAlign w:val="bottom"/>
          </w:tcPr>
          <w:p>
            <w:pPr>
              <w:spacing w:after="0"/>
              <w:rPr>
                <w:sz w:val="14"/>
                <w:szCs w:val="14"/>
                <w:color w:val="auto"/>
              </w:rPr>
            </w:pPr>
          </w:p>
        </w:tc>
        <w:tc>
          <w:tcPr>
            <w:tcW w:w="120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33.8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31.6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line="157" w:lineRule="exact"/>
              <w:rPr>
                <w:sz w:val="20"/>
                <w:szCs w:val="20"/>
                <w:color w:val="auto"/>
              </w:rPr>
            </w:pPr>
            <w:r>
              <w:rPr>
                <w:rFonts w:ascii="Calibri" w:cs="Calibri" w:eastAsia="Calibri" w:hAnsi="Calibri"/>
                <w:sz w:val="13"/>
                <w:szCs w:val="13"/>
                <w:color w:val="auto"/>
              </w:rPr>
              <w:t>7.0 %</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117.7</w:t>
            </w:r>
          </w:p>
        </w:tc>
        <w:tc>
          <w:tcPr>
            <w:tcW w:w="80" w:type="dxa"/>
            <w:vAlign w:val="bottom"/>
          </w:tcPr>
          <w:p>
            <w:pPr>
              <w:spacing w:after="0"/>
              <w:rPr>
                <w:sz w:val="14"/>
                <w:szCs w:val="14"/>
                <w:color w:val="auto"/>
              </w:rPr>
            </w:pPr>
          </w:p>
        </w:tc>
        <w:tc>
          <w:tcPr>
            <w:tcW w:w="1540" w:type="dxa"/>
            <w:vAlign w:val="bottom"/>
          </w:tcPr>
          <w:p>
            <w:pPr>
              <w:jc w:val="right"/>
              <w:spacing w:after="0" w:line="157" w:lineRule="exact"/>
              <w:rPr>
                <w:sz w:val="20"/>
                <w:szCs w:val="20"/>
                <w:color w:val="auto"/>
              </w:rPr>
            </w:pPr>
            <w:r>
              <w:rPr>
                <w:rFonts w:ascii="Calibri" w:cs="Calibri" w:eastAsia="Calibri" w:hAnsi="Calibri"/>
                <w:sz w:val="13"/>
                <w:szCs w:val="13"/>
                <w:color w:val="auto"/>
              </w:rPr>
              <w:t>(12.8)%</w:t>
            </w:r>
          </w:p>
        </w:tc>
      </w:tr>
      <w:tr>
        <w:trPr>
          <w:trHeight w:val="178"/>
        </w:trPr>
        <w:tc>
          <w:tcPr>
            <w:tcW w:w="3040" w:type="dxa"/>
            <w:vAlign w:val="bottom"/>
            <w:shd w:val="clear" w:color="auto" w:fill="CCEEFF"/>
          </w:tcPr>
          <w:p>
            <w:pPr>
              <w:ind w:left="220"/>
              <w:spacing w:after="0"/>
              <w:rPr>
                <w:sz w:val="20"/>
                <w:szCs w:val="20"/>
                <w:color w:val="auto"/>
              </w:rPr>
            </w:pPr>
            <w:r>
              <w:rPr>
                <w:rFonts w:ascii="Calibri" w:cs="Calibri" w:eastAsia="Calibri" w:hAnsi="Calibri"/>
                <w:sz w:val="13"/>
                <w:szCs w:val="13"/>
                <w:color w:val="auto"/>
              </w:rPr>
              <w:t>Milk Makeup</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34.5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28.4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21.5 %</w:t>
            </w: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100.5</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38.6 %</w:t>
            </w:r>
          </w:p>
        </w:tc>
      </w:tr>
      <w:tr>
        <w:trPr>
          <w:trHeight w:val="180"/>
        </w:trPr>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1"/>
        </w:trPr>
        <w:tc>
          <w:tcPr>
            <w:tcW w:w="3040" w:type="dxa"/>
            <w:vAlign w:val="bottom"/>
            <w:shd w:val="clear" w:color="auto" w:fill="CCEEFF"/>
          </w:tcPr>
          <w:p>
            <w:pPr>
              <w:spacing w:after="0" w:line="157" w:lineRule="exact"/>
              <w:rPr>
                <w:sz w:val="20"/>
                <w:szCs w:val="20"/>
                <w:color w:val="auto"/>
              </w:rPr>
            </w:pPr>
            <w:r>
              <w:rPr>
                <w:rFonts w:ascii="Calibri" w:cs="Calibri" w:eastAsia="Calibri" w:hAnsi="Calibri"/>
                <w:sz w:val="13"/>
                <w:szCs w:val="13"/>
                <w:color w:val="auto"/>
              </w:rPr>
              <w:t>Obagi China Business</w:t>
            </w: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color w:val="auto"/>
              </w:rPr>
              <w:t>0.4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color w:val="auto"/>
              </w:rPr>
              <w:t>3.9</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color w:val="auto"/>
              </w:rPr>
              <w:t>5.6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80"/>
        </w:trPr>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1"/>
        </w:trPr>
        <w:tc>
          <w:tcPr>
            <w:tcW w:w="3040" w:type="dxa"/>
            <w:vAlign w:val="bottom"/>
            <w:shd w:val="clear" w:color="auto" w:fill="CCEEFF"/>
          </w:tcPr>
          <w:p>
            <w:pPr>
              <w:spacing w:after="0" w:line="157" w:lineRule="exact"/>
              <w:rPr>
                <w:sz w:val="20"/>
                <w:szCs w:val="20"/>
                <w:color w:val="auto"/>
              </w:rPr>
            </w:pPr>
            <w:r>
              <w:rPr>
                <w:rFonts w:ascii="Calibri" w:cs="Calibri" w:eastAsia="Calibri" w:hAnsi="Calibri"/>
                <w:sz w:val="13"/>
                <w:szCs w:val="13"/>
                <w:b w:val="1"/>
                <w:bCs w:val="1"/>
                <w:color w:val="auto"/>
              </w:rPr>
              <w:t>Comparable Net Revenue</w:t>
            </w:r>
          </w:p>
        </w:tc>
        <w:tc>
          <w:tcPr>
            <w:tcW w:w="300" w:type="dxa"/>
            <w:vAlign w:val="bottom"/>
            <w:shd w:val="clear" w:color="auto" w:fill="CCEEFF"/>
          </w:tcPr>
          <w:p>
            <w:pPr>
              <w:jc w:val="right"/>
              <w:ind w:right="154"/>
              <w:spacing w:after="0" w:line="157" w:lineRule="exact"/>
              <w:rPr>
                <w:sz w:val="20"/>
                <w:szCs w:val="20"/>
                <w:color w:val="auto"/>
              </w:rPr>
            </w:pPr>
            <w:r>
              <w:rPr>
                <w:rFonts w:ascii="Calibri" w:cs="Calibri" w:eastAsia="Calibri" w:hAnsi="Calibri"/>
                <w:sz w:val="13"/>
                <w:szCs w:val="13"/>
                <w:b w:val="1"/>
                <w:bCs w:val="1"/>
                <w:color w:val="auto"/>
                <w:w w:val="90"/>
              </w:rPr>
              <w:t>$</w:t>
            </w:r>
          </w:p>
        </w:tc>
        <w:tc>
          <w:tcPr>
            <w:tcW w:w="120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b w:val="1"/>
                <w:bCs w:val="1"/>
                <w:color w:val="auto"/>
              </w:rPr>
              <w:t>67.9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line="157" w:lineRule="exact"/>
              <w:rPr>
                <w:sz w:val="20"/>
                <w:szCs w:val="20"/>
                <w:color w:val="auto"/>
              </w:rPr>
            </w:pPr>
            <w:r>
              <w:rPr>
                <w:rFonts w:ascii="Calibri" w:cs="Calibri" w:eastAsia="Calibri" w:hAnsi="Calibri"/>
                <w:sz w:val="13"/>
                <w:szCs w:val="13"/>
                <w:b w:val="1"/>
                <w:bCs w:val="1"/>
                <w:color w:val="auto"/>
                <w:w w:val="90"/>
              </w:rPr>
              <w:t>$</w:t>
            </w: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b w:val="1"/>
                <w:bCs w:val="1"/>
                <w:color w:val="auto"/>
              </w:rPr>
              <w:t>56.1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21.0 %</w:t>
            </w: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4"/>
              <w:spacing w:after="0" w:line="157" w:lineRule="exact"/>
              <w:rPr>
                <w:sz w:val="20"/>
                <w:szCs w:val="20"/>
                <w:color w:val="auto"/>
              </w:rPr>
            </w:pPr>
            <w:r>
              <w:rPr>
                <w:rFonts w:ascii="Calibri" w:cs="Calibri" w:eastAsia="Calibri" w:hAnsi="Calibri"/>
                <w:sz w:val="13"/>
                <w:szCs w:val="13"/>
                <w:b w:val="1"/>
                <w:bCs w:val="1"/>
                <w:color w:val="auto"/>
                <w:w w:val="90"/>
              </w:rPr>
              <w:t>$</w:t>
            </w:r>
          </w:p>
        </w:tc>
        <w:tc>
          <w:tcPr>
            <w:tcW w:w="50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b w:val="1"/>
                <w:bCs w:val="1"/>
                <w:color w:val="auto"/>
              </w:rPr>
              <w:t>212.5</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15.3 %</w:t>
            </w:r>
          </w:p>
        </w:tc>
      </w:tr>
      <w:tr>
        <w:trPr>
          <w:trHeight w:val="164"/>
        </w:trPr>
        <w:tc>
          <w:tcPr>
            <w:tcW w:w="3040" w:type="dxa"/>
            <w:vAlign w:val="bottom"/>
          </w:tcPr>
          <w:p>
            <w:pPr>
              <w:ind w:left="220"/>
              <w:spacing w:after="0" w:line="157" w:lineRule="exact"/>
              <w:rPr>
                <w:sz w:val="20"/>
                <w:szCs w:val="20"/>
                <w:color w:val="auto"/>
              </w:rPr>
            </w:pPr>
            <w:r>
              <w:rPr>
                <w:rFonts w:ascii="Calibri" w:cs="Calibri" w:eastAsia="Calibri" w:hAnsi="Calibri"/>
                <w:sz w:val="13"/>
                <w:szCs w:val="13"/>
                <w:color w:val="auto"/>
              </w:rPr>
              <w:t>Obagi Skincare</w:t>
            </w:r>
          </w:p>
        </w:tc>
        <w:tc>
          <w:tcPr>
            <w:tcW w:w="300" w:type="dxa"/>
            <w:vAlign w:val="bottom"/>
          </w:tcPr>
          <w:p>
            <w:pPr>
              <w:spacing w:after="0"/>
              <w:rPr>
                <w:sz w:val="14"/>
                <w:szCs w:val="14"/>
                <w:color w:val="auto"/>
              </w:rPr>
            </w:pPr>
          </w:p>
        </w:tc>
        <w:tc>
          <w:tcPr>
            <w:tcW w:w="120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33.4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27.7</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line="157" w:lineRule="exact"/>
              <w:rPr>
                <w:sz w:val="20"/>
                <w:szCs w:val="20"/>
                <w:color w:val="auto"/>
              </w:rPr>
            </w:pPr>
            <w:r>
              <w:rPr>
                <w:rFonts w:ascii="Calibri" w:cs="Calibri" w:eastAsia="Calibri" w:hAnsi="Calibri"/>
                <w:sz w:val="13"/>
                <w:szCs w:val="13"/>
                <w:color w:val="auto"/>
              </w:rPr>
              <w:t>20.6 %</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112.0</w:t>
            </w:r>
          </w:p>
        </w:tc>
        <w:tc>
          <w:tcPr>
            <w:tcW w:w="80" w:type="dxa"/>
            <w:vAlign w:val="bottom"/>
          </w:tcPr>
          <w:p>
            <w:pPr>
              <w:spacing w:after="0"/>
              <w:rPr>
                <w:sz w:val="14"/>
                <w:szCs w:val="14"/>
                <w:color w:val="auto"/>
              </w:rPr>
            </w:pPr>
          </w:p>
        </w:tc>
        <w:tc>
          <w:tcPr>
            <w:tcW w:w="1540" w:type="dxa"/>
            <w:vAlign w:val="bottom"/>
          </w:tcPr>
          <w:p>
            <w:pPr>
              <w:jc w:val="right"/>
              <w:spacing w:after="0" w:line="157" w:lineRule="exact"/>
              <w:rPr>
                <w:sz w:val="20"/>
                <w:szCs w:val="20"/>
                <w:color w:val="auto"/>
              </w:rPr>
            </w:pPr>
            <w:r>
              <w:rPr>
                <w:rFonts w:ascii="Calibri" w:cs="Calibri" w:eastAsia="Calibri" w:hAnsi="Calibri"/>
                <w:sz w:val="13"/>
                <w:szCs w:val="13"/>
                <w:color w:val="auto"/>
              </w:rPr>
              <w:t>0.2 %</w:t>
            </w:r>
          </w:p>
        </w:tc>
      </w:tr>
      <w:tr>
        <w:trPr>
          <w:trHeight w:val="178"/>
        </w:trPr>
        <w:tc>
          <w:tcPr>
            <w:tcW w:w="3040" w:type="dxa"/>
            <w:vAlign w:val="bottom"/>
            <w:shd w:val="clear" w:color="auto" w:fill="CCEEFF"/>
          </w:tcPr>
          <w:p>
            <w:pPr>
              <w:ind w:left="220"/>
              <w:spacing w:after="0"/>
              <w:rPr>
                <w:sz w:val="20"/>
                <w:szCs w:val="20"/>
                <w:color w:val="auto"/>
              </w:rPr>
            </w:pPr>
            <w:r>
              <w:rPr>
                <w:rFonts w:ascii="Calibri" w:cs="Calibri" w:eastAsia="Calibri" w:hAnsi="Calibri"/>
                <w:sz w:val="13"/>
                <w:szCs w:val="13"/>
                <w:color w:val="auto"/>
              </w:rPr>
              <w:t>Milk Makeup</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34.5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28.4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21.5 %</w:t>
            </w: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100.5</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38.6 %</w:t>
            </w:r>
          </w:p>
        </w:tc>
      </w:tr>
      <w:tr>
        <w:trPr>
          <w:trHeight w:val="180"/>
        </w:trPr>
        <w:tc>
          <w:tcPr>
            <w:tcW w:w="3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1"/>
        </w:trPr>
        <w:tc>
          <w:tcPr>
            <w:tcW w:w="3040" w:type="dxa"/>
            <w:vAlign w:val="bottom"/>
            <w:shd w:val="clear" w:color="auto" w:fill="CCEEFF"/>
          </w:tcPr>
          <w:p>
            <w:pPr>
              <w:spacing w:after="0" w:line="157" w:lineRule="exact"/>
              <w:rPr>
                <w:sz w:val="20"/>
                <w:szCs w:val="20"/>
                <w:color w:val="auto"/>
              </w:rPr>
            </w:pPr>
            <w:r>
              <w:rPr>
                <w:rFonts w:ascii="Calibri" w:cs="Calibri" w:eastAsia="Calibri" w:hAnsi="Calibri"/>
                <w:sz w:val="13"/>
                <w:szCs w:val="13"/>
                <w:b w:val="1"/>
                <w:bCs w:val="1"/>
                <w:color w:val="auto"/>
              </w:rPr>
              <w:t>Adjusted Gross Proft</w:t>
            </w:r>
          </w:p>
        </w:tc>
        <w:tc>
          <w:tcPr>
            <w:tcW w:w="300" w:type="dxa"/>
            <w:vAlign w:val="bottom"/>
            <w:shd w:val="clear" w:color="auto" w:fill="CCEEFF"/>
          </w:tcPr>
          <w:p>
            <w:pPr>
              <w:jc w:val="right"/>
              <w:ind w:right="154"/>
              <w:spacing w:after="0" w:line="157" w:lineRule="exact"/>
              <w:rPr>
                <w:sz w:val="20"/>
                <w:szCs w:val="20"/>
                <w:color w:val="auto"/>
              </w:rPr>
            </w:pPr>
            <w:r>
              <w:rPr>
                <w:rFonts w:ascii="Calibri" w:cs="Calibri" w:eastAsia="Calibri" w:hAnsi="Calibri"/>
                <w:sz w:val="13"/>
                <w:szCs w:val="13"/>
                <w:b w:val="1"/>
                <w:bCs w:val="1"/>
                <w:color w:val="auto"/>
                <w:w w:val="90"/>
              </w:rPr>
              <w:t>$</w:t>
            </w:r>
          </w:p>
        </w:tc>
        <w:tc>
          <w:tcPr>
            <w:tcW w:w="120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b w:val="1"/>
                <w:bCs w:val="1"/>
                <w:color w:val="auto"/>
              </w:rPr>
              <w:t>52.1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line="157" w:lineRule="exact"/>
              <w:rPr>
                <w:sz w:val="20"/>
                <w:szCs w:val="20"/>
                <w:color w:val="auto"/>
              </w:rPr>
            </w:pPr>
            <w:r>
              <w:rPr>
                <w:rFonts w:ascii="Calibri" w:cs="Calibri" w:eastAsia="Calibri" w:hAnsi="Calibri"/>
                <w:sz w:val="13"/>
                <w:szCs w:val="13"/>
                <w:b w:val="1"/>
                <w:bCs w:val="1"/>
                <w:color w:val="auto"/>
                <w:w w:val="90"/>
              </w:rPr>
              <w:t>$</w:t>
            </w: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b w:val="1"/>
                <w:bCs w:val="1"/>
                <w:color w:val="auto"/>
              </w:rPr>
              <w:t>39.2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32.9 %</w:t>
            </w: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4"/>
              <w:spacing w:after="0" w:line="157" w:lineRule="exact"/>
              <w:rPr>
                <w:sz w:val="20"/>
                <w:szCs w:val="20"/>
                <w:color w:val="auto"/>
              </w:rPr>
            </w:pPr>
            <w:r>
              <w:rPr>
                <w:rFonts w:ascii="Calibri" w:cs="Calibri" w:eastAsia="Calibri" w:hAnsi="Calibri"/>
                <w:sz w:val="13"/>
                <w:szCs w:val="13"/>
                <w:b w:val="1"/>
                <w:bCs w:val="1"/>
                <w:color w:val="auto"/>
                <w:w w:val="90"/>
              </w:rPr>
              <w:t>$</w:t>
            </w:r>
          </w:p>
        </w:tc>
        <w:tc>
          <w:tcPr>
            <w:tcW w:w="500" w:type="dxa"/>
            <w:vAlign w:val="bottom"/>
            <w:shd w:val="clear" w:color="auto" w:fill="CCEEFF"/>
          </w:tcPr>
          <w:p>
            <w:pPr>
              <w:jc w:val="right"/>
              <w:ind w:right="74"/>
              <w:spacing w:after="0" w:line="157" w:lineRule="exact"/>
              <w:rPr>
                <w:sz w:val="20"/>
                <w:szCs w:val="20"/>
                <w:color w:val="auto"/>
              </w:rPr>
            </w:pPr>
            <w:r>
              <w:rPr>
                <w:rFonts w:ascii="Calibri" w:cs="Calibri" w:eastAsia="Calibri" w:hAnsi="Calibri"/>
                <w:sz w:val="13"/>
                <w:szCs w:val="13"/>
                <w:b w:val="1"/>
                <w:bCs w:val="1"/>
                <w:color w:val="auto"/>
              </w:rPr>
              <w:t>150.4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4"/>
        </w:trPr>
        <w:tc>
          <w:tcPr>
            <w:tcW w:w="3040" w:type="dxa"/>
            <w:vAlign w:val="bottom"/>
          </w:tcPr>
          <w:p>
            <w:pPr>
              <w:spacing w:after="0" w:line="157" w:lineRule="exact"/>
              <w:rPr>
                <w:sz w:val="20"/>
                <w:szCs w:val="20"/>
                <w:color w:val="auto"/>
              </w:rPr>
            </w:pPr>
            <w:r>
              <w:rPr>
                <w:rFonts w:ascii="Calibri" w:cs="Calibri" w:eastAsia="Calibri" w:hAnsi="Calibri"/>
                <w:sz w:val="13"/>
                <w:szCs w:val="13"/>
                <w:color w:val="auto"/>
              </w:rPr>
              <w:t>Margin %</w:t>
            </w:r>
          </w:p>
        </w:tc>
        <w:tc>
          <w:tcPr>
            <w:tcW w:w="300" w:type="dxa"/>
            <w:vAlign w:val="bottom"/>
          </w:tcPr>
          <w:p>
            <w:pPr>
              <w:spacing w:after="0"/>
              <w:rPr>
                <w:sz w:val="14"/>
                <w:szCs w:val="14"/>
                <w:color w:val="auto"/>
              </w:rPr>
            </w:pPr>
          </w:p>
        </w:tc>
        <w:tc>
          <w:tcPr>
            <w:tcW w:w="1200" w:type="dxa"/>
            <w:vAlign w:val="bottom"/>
          </w:tcPr>
          <w:p>
            <w:pPr>
              <w:jc w:val="right"/>
              <w:spacing w:after="0" w:line="157" w:lineRule="exact"/>
              <w:rPr>
                <w:sz w:val="20"/>
                <w:szCs w:val="20"/>
                <w:color w:val="auto"/>
              </w:rPr>
            </w:pPr>
            <w:r>
              <w:rPr>
                <w:rFonts w:ascii="Calibri" w:cs="Calibri" w:eastAsia="Calibri" w:hAnsi="Calibri"/>
                <w:sz w:val="13"/>
                <w:szCs w:val="13"/>
                <w:color w:val="auto"/>
              </w:rPr>
              <w:t>76.3 %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jc w:val="right"/>
              <w:spacing w:after="0" w:line="157" w:lineRule="exact"/>
              <w:rPr>
                <w:sz w:val="20"/>
                <w:szCs w:val="20"/>
                <w:color w:val="auto"/>
              </w:rPr>
            </w:pPr>
            <w:r>
              <w:rPr>
                <w:rFonts w:ascii="Calibri" w:cs="Calibri" w:eastAsia="Calibri" w:hAnsi="Calibri"/>
                <w:sz w:val="13"/>
                <w:szCs w:val="13"/>
                <w:color w:val="auto"/>
              </w:rPr>
              <w:t>65.3 %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auto"/>
              </w:rPr>
              <w:t>69.0 %</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8"/>
        </w:trPr>
        <w:tc>
          <w:tcPr>
            <w:tcW w:w="3040" w:type="dxa"/>
            <w:vAlign w:val="bottom"/>
            <w:shd w:val="clear" w:color="auto" w:fill="CCEEFF"/>
          </w:tcPr>
          <w:p>
            <w:pPr>
              <w:ind w:left="220"/>
              <w:spacing w:after="0"/>
              <w:rPr>
                <w:sz w:val="20"/>
                <w:szCs w:val="20"/>
                <w:color w:val="auto"/>
              </w:rPr>
            </w:pPr>
            <w:r>
              <w:rPr>
                <w:rFonts w:ascii="Calibri" w:cs="Calibri" w:eastAsia="Calibri" w:hAnsi="Calibri"/>
                <w:sz w:val="13"/>
                <w:szCs w:val="13"/>
                <w:color w:val="auto"/>
              </w:rPr>
              <w:t>Obagi Skincare</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27.5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20.4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34.8 %</w:t>
            </w: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83.7</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4"/>
        </w:trPr>
        <w:tc>
          <w:tcPr>
            <w:tcW w:w="3040" w:type="dxa"/>
            <w:vAlign w:val="bottom"/>
          </w:tcPr>
          <w:p>
            <w:pPr>
              <w:ind w:left="220"/>
              <w:spacing w:after="0" w:line="157" w:lineRule="exact"/>
              <w:rPr>
                <w:sz w:val="20"/>
                <w:szCs w:val="20"/>
                <w:color w:val="auto"/>
              </w:rPr>
            </w:pPr>
            <w:r>
              <w:rPr>
                <w:rFonts w:ascii="Calibri" w:cs="Calibri" w:eastAsia="Calibri" w:hAnsi="Calibri"/>
                <w:sz w:val="13"/>
                <w:szCs w:val="13"/>
                <w:color w:val="auto"/>
              </w:rPr>
              <w:t>Margin %</w:t>
            </w:r>
          </w:p>
        </w:tc>
        <w:tc>
          <w:tcPr>
            <w:tcW w:w="300" w:type="dxa"/>
            <w:vAlign w:val="bottom"/>
          </w:tcPr>
          <w:p>
            <w:pPr>
              <w:spacing w:after="0"/>
              <w:rPr>
                <w:sz w:val="14"/>
                <w:szCs w:val="14"/>
                <w:color w:val="auto"/>
              </w:rPr>
            </w:pPr>
          </w:p>
        </w:tc>
        <w:tc>
          <w:tcPr>
            <w:tcW w:w="1200" w:type="dxa"/>
            <w:vAlign w:val="bottom"/>
          </w:tcPr>
          <w:p>
            <w:pPr>
              <w:jc w:val="right"/>
              <w:spacing w:after="0" w:line="157" w:lineRule="exact"/>
              <w:rPr>
                <w:sz w:val="20"/>
                <w:szCs w:val="20"/>
                <w:color w:val="auto"/>
              </w:rPr>
            </w:pPr>
            <w:r>
              <w:rPr>
                <w:rFonts w:ascii="Calibri" w:cs="Calibri" w:eastAsia="Calibri" w:hAnsi="Calibri"/>
                <w:sz w:val="13"/>
                <w:szCs w:val="13"/>
                <w:color w:val="auto"/>
              </w:rPr>
              <w:t>81.4 %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jc w:val="right"/>
              <w:spacing w:after="0" w:line="157" w:lineRule="exact"/>
              <w:rPr>
                <w:sz w:val="20"/>
                <w:szCs w:val="20"/>
                <w:color w:val="auto"/>
              </w:rPr>
            </w:pPr>
            <w:r>
              <w:rPr>
                <w:rFonts w:ascii="Calibri" w:cs="Calibri" w:eastAsia="Calibri" w:hAnsi="Calibri"/>
                <w:sz w:val="13"/>
                <w:szCs w:val="13"/>
                <w:color w:val="auto"/>
              </w:rPr>
              <w:t>64.8 %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auto"/>
              </w:rPr>
              <w:t>71.2 %</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8"/>
        </w:trPr>
        <w:tc>
          <w:tcPr>
            <w:tcW w:w="3040" w:type="dxa"/>
            <w:vAlign w:val="bottom"/>
            <w:shd w:val="clear" w:color="auto" w:fill="CCEEFF"/>
          </w:tcPr>
          <w:p>
            <w:pPr>
              <w:ind w:left="220"/>
              <w:spacing w:after="0"/>
              <w:rPr>
                <w:sz w:val="20"/>
                <w:szCs w:val="20"/>
                <w:color w:val="auto"/>
              </w:rPr>
            </w:pPr>
            <w:r>
              <w:rPr>
                <w:rFonts w:ascii="Calibri" w:cs="Calibri" w:eastAsia="Calibri" w:hAnsi="Calibri"/>
                <w:sz w:val="13"/>
                <w:szCs w:val="13"/>
                <w:color w:val="auto"/>
              </w:rPr>
              <w:t>Milk Makeup</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24.6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18.7</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31.6 %</w:t>
            </w: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66.7</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4"/>
        </w:trPr>
        <w:tc>
          <w:tcPr>
            <w:tcW w:w="3040" w:type="dxa"/>
            <w:vAlign w:val="bottom"/>
          </w:tcPr>
          <w:p>
            <w:pPr>
              <w:ind w:left="220"/>
              <w:spacing w:after="0" w:line="157" w:lineRule="exact"/>
              <w:rPr>
                <w:sz w:val="20"/>
                <w:szCs w:val="20"/>
                <w:color w:val="auto"/>
              </w:rPr>
            </w:pPr>
            <w:r>
              <w:rPr>
                <w:rFonts w:ascii="Calibri" w:cs="Calibri" w:eastAsia="Calibri" w:hAnsi="Calibri"/>
                <w:sz w:val="13"/>
                <w:szCs w:val="13"/>
                <w:color w:val="auto"/>
              </w:rPr>
              <w:t>Margin %</w:t>
            </w:r>
          </w:p>
        </w:tc>
        <w:tc>
          <w:tcPr>
            <w:tcW w:w="300" w:type="dxa"/>
            <w:vAlign w:val="bottom"/>
          </w:tcPr>
          <w:p>
            <w:pPr>
              <w:spacing w:after="0"/>
              <w:rPr>
                <w:sz w:val="14"/>
                <w:szCs w:val="14"/>
                <w:color w:val="auto"/>
              </w:rPr>
            </w:pPr>
          </w:p>
        </w:tc>
        <w:tc>
          <w:tcPr>
            <w:tcW w:w="1200" w:type="dxa"/>
            <w:vAlign w:val="bottom"/>
          </w:tcPr>
          <w:p>
            <w:pPr>
              <w:jc w:val="right"/>
              <w:spacing w:after="0" w:line="157" w:lineRule="exact"/>
              <w:rPr>
                <w:sz w:val="20"/>
                <w:szCs w:val="20"/>
                <w:color w:val="auto"/>
              </w:rPr>
            </w:pPr>
            <w:r>
              <w:rPr>
                <w:rFonts w:ascii="Calibri" w:cs="Calibri" w:eastAsia="Calibri" w:hAnsi="Calibri"/>
                <w:sz w:val="13"/>
                <w:szCs w:val="13"/>
                <w:color w:val="auto"/>
              </w:rPr>
              <w:t>71.3 %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jc w:val="right"/>
              <w:spacing w:after="0" w:line="157" w:lineRule="exact"/>
              <w:rPr>
                <w:sz w:val="20"/>
                <w:szCs w:val="20"/>
                <w:color w:val="auto"/>
              </w:rPr>
            </w:pPr>
            <w:r>
              <w:rPr>
                <w:rFonts w:ascii="Calibri" w:cs="Calibri" w:eastAsia="Calibri" w:hAnsi="Calibri"/>
                <w:sz w:val="13"/>
                <w:szCs w:val="13"/>
                <w:color w:val="auto"/>
              </w:rPr>
              <w:t>65.9 %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line="157" w:lineRule="exact"/>
              <w:rPr>
                <w:sz w:val="20"/>
                <w:szCs w:val="20"/>
                <w:color w:val="auto"/>
              </w:rPr>
            </w:pPr>
            <w:r>
              <w:rPr>
                <w:rFonts w:ascii="Calibri" w:cs="Calibri" w:eastAsia="Calibri" w:hAnsi="Calibri"/>
                <w:sz w:val="13"/>
                <w:szCs w:val="13"/>
                <w:color w:val="auto"/>
              </w:rPr>
              <w:t>66.4 %</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7"/>
        </w:trPr>
        <w:tc>
          <w:tcPr>
            <w:tcW w:w="30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64"/>
        </w:trPr>
        <w:tc>
          <w:tcPr>
            <w:tcW w:w="3040" w:type="dxa"/>
            <w:vAlign w:val="bottom"/>
          </w:tcPr>
          <w:p>
            <w:pPr>
              <w:spacing w:after="0" w:line="157" w:lineRule="exact"/>
              <w:rPr>
                <w:sz w:val="20"/>
                <w:szCs w:val="20"/>
                <w:color w:val="auto"/>
              </w:rPr>
            </w:pPr>
            <w:r>
              <w:rPr>
                <w:rFonts w:ascii="Calibri" w:cs="Calibri" w:eastAsia="Calibri" w:hAnsi="Calibri"/>
                <w:sz w:val="13"/>
                <w:szCs w:val="13"/>
                <w:b w:val="1"/>
                <w:bCs w:val="1"/>
                <w:color w:val="auto"/>
              </w:rPr>
              <w:t>Adjusted EBITDA</w:t>
            </w:r>
          </w:p>
        </w:tc>
        <w:tc>
          <w:tcPr>
            <w:tcW w:w="300" w:type="dxa"/>
            <w:vAlign w:val="bottom"/>
          </w:tcPr>
          <w:p>
            <w:pPr>
              <w:jc w:val="right"/>
              <w:ind w:right="154"/>
              <w:spacing w:after="0" w:line="157" w:lineRule="exact"/>
              <w:rPr>
                <w:sz w:val="20"/>
                <w:szCs w:val="20"/>
                <w:color w:val="auto"/>
              </w:rPr>
            </w:pPr>
            <w:r>
              <w:rPr>
                <w:rFonts w:ascii="Calibri" w:cs="Calibri" w:eastAsia="Calibri" w:hAnsi="Calibri"/>
                <w:sz w:val="13"/>
                <w:szCs w:val="13"/>
                <w:b w:val="1"/>
                <w:bCs w:val="1"/>
                <w:color w:val="auto"/>
                <w:w w:val="90"/>
              </w:rPr>
              <w:t>$</w:t>
            </w:r>
          </w:p>
        </w:tc>
        <w:tc>
          <w:tcPr>
            <w:tcW w:w="1200" w:type="dxa"/>
            <w:vAlign w:val="bottom"/>
          </w:tcPr>
          <w:p>
            <w:pPr>
              <w:jc w:val="right"/>
              <w:ind w:right="74"/>
              <w:spacing w:after="0" w:line="157" w:lineRule="exact"/>
              <w:rPr>
                <w:sz w:val="20"/>
                <w:szCs w:val="20"/>
                <w:color w:val="auto"/>
              </w:rPr>
            </w:pPr>
            <w:r>
              <w:rPr>
                <w:rFonts w:ascii="Calibri" w:cs="Calibri" w:eastAsia="Calibri" w:hAnsi="Calibri"/>
                <w:sz w:val="13"/>
                <w:szCs w:val="13"/>
                <w:b w:val="1"/>
                <w:bCs w:val="1"/>
                <w:color w:val="auto"/>
              </w:rPr>
              <w:t>11.4</w:t>
            </w:r>
          </w:p>
        </w:tc>
        <w:tc>
          <w:tcPr>
            <w:tcW w:w="80" w:type="dxa"/>
            <w:vAlign w:val="bottom"/>
          </w:tcPr>
          <w:p>
            <w:pPr>
              <w:spacing w:after="0"/>
              <w:rPr>
                <w:sz w:val="14"/>
                <w:szCs w:val="14"/>
                <w:color w:val="auto"/>
              </w:rPr>
            </w:pPr>
          </w:p>
        </w:tc>
        <w:tc>
          <w:tcPr>
            <w:tcW w:w="300" w:type="dxa"/>
            <w:vAlign w:val="bottom"/>
          </w:tcPr>
          <w:p>
            <w:pPr>
              <w:jc w:val="right"/>
              <w:ind w:right="154"/>
              <w:spacing w:after="0" w:line="157" w:lineRule="exact"/>
              <w:rPr>
                <w:sz w:val="20"/>
                <w:szCs w:val="20"/>
                <w:color w:val="auto"/>
              </w:rPr>
            </w:pPr>
            <w:r>
              <w:rPr>
                <w:rFonts w:ascii="Calibri" w:cs="Calibri" w:eastAsia="Calibri" w:hAnsi="Calibri"/>
                <w:sz w:val="13"/>
                <w:szCs w:val="13"/>
                <w:b w:val="1"/>
                <w:bCs w:val="1"/>
                <w:color w:val="auto"/>
                <w:w w:val="90"/>
              </w:rPr>
              <w:t>$</w:t>
            </w:r>
          </w:p>
        </w:tc>
        <w:tc>
          <w:tcPr>
            <w:tcW w:w="760" w:type="dxa"/>
            <w:vAlign w:val="bottom"/>
          </w:tcPr>
          <w:p>
            <w:pPr>
              <w:spacing w:after="0"/>
              <w:rPr>
                <w:sz w:val="14"/>
                <w:szCs w:val="14"/>
                <w:color w:val="auto"/>
              </w:rPr>
            </w:pPr>
          </w:p>
        </w:tc>
        <w:tc>
          <w:tcPr>
            <w:tcW w:w="460" w:type="dxa"/>
            <w:vAlign w:val="bottom"/>
          </w:tcPr>
          <w:p>
            <w:pPr>
              <w:jc w:val="right"/>
              <w:ind w:right="74"/>
              <w:spacing w:after="0" w:line="157" w:lineRule="exact"/>
              <w:rPr>
                <w:sz w:val="20"/>
                <w:szCs w:val="20"/>
                <w:color w:val="auto"/>
              </w:rPr>
            </w:pPr>
            <w:r>
              <w:rPr>
                <w:rFonts w:ascii="Calibri" w:cs="Calibri" w:eastAsia="Calibri" w:hAnsi="Calibri"/>
                <w:sz w:val="13"/>
                <w:szCs w:val="13"/>
                <w:b w:val="1"/>
                <w:bCs w:val="1"/>
                <w:color w:val="auto"/>
              </w:rPr>
              <w:t>10.1</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line="157" w:lineRule="exact"/>
              <w:rPr>
                <w:sz w:val="20"/>
                <w:szCs w:val="20"/>
                <w:color w:val="auto"/>
              </w:rPr>
            </w:pPr>
            <w:r>
              <w:rPr>
                <w:rFonts w:ascii="Calibri" w:cs="Calibri" w:eastAsia="Calibri" w:hAnsi="Calibri"/>
                <w:sz w:val="13"/>
                <w:szCs w:val="13"/>
                <w:b w:val="1"/>
                <w:bCs w:val="1"/>
                <w:color w:val="auto"/>
              </w:rPr>
              <w:t>12.9 %</w:t>
            </w:r>
          </w:p>
        </w:tc>
        <w:tc>
          <w:tcPr>
            <w:tcW w:w="460" w:type="dxa"/>
            <w:vAlign w:val="bottom"/>
          </w:tcPr>
          <w:p>
            <w:pPr>
              <w:spacing w:after="0"/>
              <w:rPr>
                <w:sz w:val="14"/>
                <w:szCs w:val="14"/>
                <w:color w:val="auto"/>
              </w:rPr>
            </w:pPr>
          </w:p>
        </w:tc>
        <w:tc>
          <w:tcPr>
            <w:tcW w:w="1020" w:type="dxa"/>
            <w:vAlign w:val="bottom"/>
          </w:tcPr>
          <w:p>
            <w:pPr>
              <w:jc w:val="right"/>
              <w:ind w:right="874"/>
              <w:spacing w:after="0" w:line="157" w:lineRule="exact"/>
              <w:rPr>
                <w:sz w:val="20"/>
                <w:szCs w:val="20"/>
                <w:color w:val="auto"/>
              </w:rPr>
            </w:pPr>
            <w:r>
              <w:rPr>
                <w:rFonts w:ascii="Calibri" w:cs="Calibri" w:eastAsia="Calibri" w:hAnsi="Calibri"/>
                <w:sz w:val="13"/>
                <w:szCs w:val="13"/>
                <w:b w:val="1"/>
                <w:bCs w:val="1"/>
                <w:color w:val="auto"/>
                <w:w w:val="90"/>
              </w:rPr>
              <w:t>$</w:t>
            </w:r>
          </w:p>
        </w:tc>
        <w:tc>
          <w:tcPr>
            <w:tcW w:w="500" w:type="dxa"/>
            <w:vAlign w:val="bottom"/>
          </w:tcPr>
          <w:p>
            <w:pPr>
              <w:jc w:val="right"/>
              <w:ind w:right="74"/>
              <w:spacing w:after="0" w:line="157" w:lineRule="exact"/>
              <w:rPr>
                <w:sz w:val="20"/>
                <w:szCs w:val="20"/>
                <w:color w:val="auto"/>
              </w:rPr>
            </w:pPr>
            <w:r>
              <w:rPr>
                <w:rFonts w:ascii="Calibri" w:cs="Calibri" w:eastAsia="Calibri" w:hAnsi="Calibri"/>
                <w:sz w:val="13"/>
                <w:szCs w:val="13"/>
                <w:b w:val="1"/>
                <w:bCs w:val="1"/>
                <w:color w:val="auto"/>
              </w:rPr>
              <w:t>24.4</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8"/>
        </w:trPr>
        <w:tc>
          <w:tcPr>
            <w:tcW w:w="3040" w:type="dxa"/>
            <w:vAlign w:val="bottom"/>
            <w:shd w:val="clear" w:color="auto" w:fill="CCEEFF"/>
          </w:tcPr>
          <w:p>
            <w:pPr>
              <w:spacing w:after="0"/>
              <w:rPr>
                <w:sz w:val="20"/>
                <w:szCs w:val="20"/>
                <w:color w:val="auto"/>
              </w:rPr>
            </w:pPr>
            <w:r>
              <w:rPr>
                <w:rFonts w:ascii="Calibri" w:cs="Calibri" w:eastAsia="Calibri" w:hAnsi="Calibri"/>
                <w:sz w:val="13"/>
                <w:szCs w:val="13"/>
                <w:color w:val="auto"/>
              </w:rPr>
              <w:t>Margin %</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16.6 %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16.9 %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11.2 %</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4"/>
        </w:trPr>
        <w:tc>
          <w:tcPr>
            <w:tcW w:w="3040" w:type="dxa"/>
            <w:vAlign w:val="bottom"/>
          </w:tcPr>
          <w:p>
            <w:pPr>
              <w:ind w:left="220"/>
              <w:spacing w:after="0" w:line="157" w:lineRule="exact"/>
              <w:rPr>
                <w:sz w:val="20"/>
                <w:szCs w:val="20"/>
                <w:color w:val="auto"/>
              </w:rPr>
            </w:pPr>
            <w:r>
              <w:rPr>
                <w:rFonts w:ascii="Calibri" w:cs="Calibri" w:eastAsia="Calibri" w:hAnsi="Calibri"/>
                <w:sz w:val="13"/>
                <w:szCs w:val="13"/>
                <w:color w:val="auto"/>
              </w:rPr>
              <w:t>Obagi Skincare</w:t>
            </w:r>
          </w:p>
        </w:tc>
        <w:tc>
          <w:tcPr>
            <w:tcW w:w="300" w:type="dxa"/>
            <w:vAlign w:val="bottom"/>
          </w:tcPr>
          <w:p>
            <w:pPr>
              <w:spacing w:after="0"/>
              <w:rPr>
                <w:sz w:val="14"/>
                <w:szCs w:val="14"/>
                <w:color w:val="auto"/>
              </w:rPr>
            </w:pPr>
          </w:p>
        </w:tc>
        <w:tc>
          <w:tcPr>
            <w:tcW w:w="120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5.5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line="157" w:lineRule="exact"/>
              <w:rPr>
                <w:sz w:val="20"/>
                <w:szCs w:val="20"/>
                <w:color w:val="auto"/>
              </w:rPr>
            </w:pPr>
            <w:r>
              <w:rPr>
                <w:rFonts w:ascii="Calibri" w:cs="Calibri" w:eastAsia="Calibri" w:hAnsi="Calibri"/>
                <w:sz w:val="13"/>
                <w:szCs w:val="13"/>
                <w:color w:val="auto"/>
              </w:rPr>
              <w:t>21.8 %</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20.8</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8"/>
        </w:trPr>
        <w:tc>
          <w:tcPr>
            <w:tcW w:w="3040" w:type="dxa"/>
            <w:vAlign w:val="bottom"/>
            <w:shd w:val="clear" w:color="auto" w:fill="CCEEFF"/>
          </w:tcPr>
          <w:p>
            <w:pPr>
              <w:ind w:left="220"/>
              <w:spacing w:after="0"/>
              <w:rPr>
                <w:sz w:val="20"/>
                <w:szCs w:val="20"/>
                <w:color w:val="auto"/>
              </w:rPr>
            </w:pPr>
            <w:r>
              <w:rPr>
                <w:rFonts w:ascii="Calibri" w:cs="Calibri" w:eastAsia="Calibri" w:hAnsi="Calibri"/>
                <w:sz w:val="13"/>
                <w:szCs w:val="13"/>
                <w:color w:val="auto"/>
              </w:rPr>
              <w:t>Margin %</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20.0 %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17.4 %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17.7 %</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4"/>
        </w:trPr>
        <w:tc>
          <w:tcPr>
            <w:tcW w:w="3040" w:type="dxa"/>
            <w:vAlign w:val="bottom"/>
          </w:tcPr>
          <w:p>
            <w:pPr>
              <w:ind w:left="220"/>
              <w:spacing w:after="0" w:line="157" w:lineRule="exact"/>
              <w:rPr>
                <w:sz w:val="20"/>
                <w:szCs w:val="20"/>
                <w:color w:val="auto"/>
              </w:rPr>
            </w:pPr>
            <w:r>
              <w:rPr>
                <w:rFonts w:ascii="Calibri" w:cs="Calibri" w:eastAsia="Calibri" w:hAnsi="Calibri"/>
                <w:sz w:val="13"/>
                <w:szCs w:val="13"/>
                <w:color w:val="auto"/>
              </w:rPr>
              <w:t>Milk Makeup</w:t>
            </w:r>
          </w:p>
        </w:tc>
        <w:tc>
          <w:tcPr>
            <w:tcW w:w="300" w:type="dxa"/>
            <w:vAlign w:val="bottom"/>
          </w:tcPr>
          <w:p>
            <w:pPr>
              <w:spacing w:after="0"/>
              <w:rPr>
                <w:sz w:val="14"/>
                <w:szCs w:val="14"/>
                <w:color w:val="auto"/>
              </w:rPr>
            </w:pPr>
          </w:p>
        </w:tc>
        <w:tc>
          <w:tcPr>
            <w:tcW w:w="120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10.0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8.9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line="157" w:lineRule="exact"/>
              <w:rPr>
                <w:sz w:val="20"/>
                <w:szCs w:val="20"/>
                <w:color w:val="auto"/>
              </w:rPr>
            </w:pPr>
            <w:r>
              <w:rPr>
                <w:rFonts w:ascii="Calibri" w:cs="Calibri" w:eastAsia="Calibri" w:hAnsi="Calibri"/>
                <w:sz w:val="13"/>
                <w:szCs w:val="13"/>
                <w:color w:val="auto"/>
              </w:rPr>
              <w:t>12.4 %</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18.4</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8"/>
        </w:trPr>
        <w:tc>
          <w:tcPr>
            <w:tcW w:w="3040" w:type="dxa"/>
            <w:vAlign w:val="bottom"/>
            <w:shd w:val="clear" w:color="auto" w:fill="CCEEFF"/>
          </w:tcPr>
          <w:p>
            <w:pPr>
              <w:ind w:left="220"/>
              <w:spacing w:after="0"/>
              <w:rPr>
                <w:sz w:val="20"/>
                <w:szCs w:val="20"/>
                <w:color w:val="auto"/>
              </w:rPr>
            </w:pPr>
            <w:r>
              <w:rPr>
                <w:rFonts w:ascii="Calibri" w:cs="Calibri" w:eastAsia="Calibri" w:hAnsi="Calibri"/>
                <w:sz w:val="13"/>
                <w:szCs w:val="13"/>
                <w:color w:val="auto"/>
              </w:rPr>
              <w:t>Margin %</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29.1 %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31.4 %</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18.3 %</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57"/>
        </w:trPr>
        <w:tc>
          <w:tcPr>
            <w:tcW w:w="3040" w:type="dxa"/>
            <w:vAlign w:val="bottom"/>
          </w:tcPr>
          <w:p>
            <w:pPr>
              <w:ind w:left="220"/>
              <w:spacing w:after="0" w:line="157" w:lineRule="exact"/>
              <w:rPr>
                <w:sz w:val="20"/>
                <w:szCs w:val="20"/>
                <w:color w:val="auto"/>
              </w:rPr>
            </w:pPr>
            <w:r>
              <w:rPr>
                <w:rFonts w:ascii="Calibri" w:cs="Calibri" w:eastAsia="Calibri" w:hAnsi="Calibri"/>
                <w:sz w:val="13"/>
                <w:szCs w:val="13"/>
                <w:color w:val="auto"/>
              </w:rPr>
              <w:t>Central Costs</w:t>
            </w:r>
          </w:p>
        </w:tc>
        <w:tc>
          <w:tcPr>
            <w:tcW w:w="300" w:type="dxa"/>
            <w:vAlign w:val="bottom"/>
          </w:tcPr>
          <w:p>
            <w:pPr>
              <w:spacing w:after="0"/>
              <w:rPr>
                <w:sz w:val="13"/>
                <w:szCs w:val="13"/>
                <w:color w:val="auto"/>
              </w:rPr>
            </w:pPr>
          </w:p>
        </w:tc>
        <w:tc>
          <w:tcPr>
            <w:tcW w:w="1200" w:type="dxa"/>
            <w:vAlign w:val="bottom"/>
          </w:tcPr>
          <w:p>
            <w:pPr>
              <w:jc w:val="right"/>
              <w:ind w:right="54"/>
              <w:spacing w:after="0" w:line="157" w:lineRule="exact"/>
              <w:rPr>
                <w:sz w:val="20"/>
                <w:szCs w:val="20"/>
                <w:color w:val="auto"/>
              </w:rPr>
            </w:pPr>
            <w:r>
              <w:rPr>
                <w:rFonts w:ascii="Calibri" w:cs="Calibri" w:eastAsia="Calibri" w:hAnsi="Calibri"/>
                <w:sz w:val="13"/>
                <w:szCs w:val="13"/>
                <w:color w:val="auto"/>
              </w:rPr>
              <w:t>(5.4)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jc w:val="right"/>
              <w:ind w:right="54"/>
              <w:spacing w:after="0" w:line="157" w:lineRule="exact"/>
              <w:rPr>
                <w:sz w:val="20"/>
                <w:szCs w:val="20"/>
                <w:color w:val="auto"/>
              </w:rPr>
            </w:pPr>
            <w:r>
              <w:rPr>
                <w:rFonts w:ascii="Calibri" w:cs="Calibri" w:eastAsia="Calibri" w:hAnsi="Calibri"/>
                <w:sz w:val="13"/>
                <w:szCs w:val="13"/>
                <w:color w:val="auto"/>
              </w:rPr>
              <w:t>(4.3)</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jc w:val="right"/>
              <w:spacing w:after="0" w:line="157" w:lineRule="exact"/>
              <w:rPr>
                <w:sz w:val="20"/>
                <w:szCs w:val="20"/>
                <w:color w:val="auto"/>
              </w:rPr>
            </w:pPr>
            <w:r>
              <w:rPr>
                <w:rFonts w:ascii="Calibri" w:cs="Calibri" w:eastAsia="Calibri" w:hAnsi="Calibri"/>
                <w:sz w:val="13"/>
                <w:szCs w:val="13"/>
                <w:color w:val="auto"/>
              </w:rPr>
              <w:t>25.6 %</w:t>
            </w: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ind w:right="54"/>
              <w:spacing w:after="0" w:line="157" w:lineRule="exact"/>
              <w:rPr>
                <w:sz w:val="20"/>
                <w:szCs w:val="20"/>
                <w:color w:val="auto"/>
              </w:rPr>
            </w:pPr>
            <w:r>
              <w:rPr>
                <w:rFonts w:ascii="Calibri" w:cs="Calibri" w:eastAsia="Calibri" w:hAnsi="Calibri"/>
                <w:sz w:val="13"/>
                <w:szCs w:val="13"/>
                <w:color w:val="auto"/>
              </w:rPr>
              <w:t>(14.8)</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bl>
    <w:p>
      <w:pPr>
        <w:spacing w:after="0" w:line="229"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181818"/>
        </w:rPr>
        <w:t>Obagi Skincare:</w:t>
      </w:r>
    </w:p>
    <w:p>
      <w:pPr>
        <w:spacing w:after="0" w:line="12" w:lineRule="exact"/>
        <w:rPr>
          <w:sz w:val="20"/>
          <w:szCs w:val="20"/>
          <w:color w:val="auto"/>
        </w:rPr>
      </w:pPr>
    </w:p>
    <w:p>
      <w:pPr>
        <w:ind w:left="420" w:hanging="212"/>
        <w:spacing w:after="0"/>
        <w:tabs>
          <w:tab w:leader="none" w:pos="420" w:val="left"/>
        </w:tabs>
        <w:numPr>
          <w:ilvl w:val="0"/>
          <w:numId w:val="4"/>
        </w:numPr>
        <w:rPr>
          <w:rFonts w:ascii="Calibri" w:cs="Calibri" w:eastAsia="Calibri" w:hAnsi="Calibri"/>
          <w:sz w:val="13"/>
          <w:szCs w:val="13"/>
          <w:color w:val="212529"/>
        </w:rPr>
      </w:pPr>
      <w:r>
        <w:rPr>
          <w:rFonts w:ascii="Calibri" w:cs="Calibri" w:eastAsia="Calibri" w:hAnsi="Calibri"/>
          <w:sz w:val="13"/>
          <w:szCs w:val="13"/>
          <w:color w:val="181818"/>
        </w:rPr>
        <w:t>Net Revenue o</w:t>
      </w:r>
      <w:r>
        <w:rPr>
          <w:rFonts w:ascii="Calibri" w:cs="Calibri" w:eastAsia="Calibri" w:hAnsi="Calibri"/>
          <w:sz w:val="13"/>
          <w:szCs w:val="13"/>
          <w:color w:val="212529"/>
        </w:rPr>
        <w:t>f $33.8 million</w:t>
      </w:r>
      <w:r>
        <w:rPr>
          <w:rFonts w:ascii="Calibri" w:cs="Calibri" w:eastAsia="Calibri" w:hAnsi="Calibri"/>
          <w:sz w:val="13"/>
          <w:szCs w:val="13"/>
          <w:color w:val="181818"/>
        </w:rPr>
        <w:t xml:space="preserve">. Comparable Net Revenue of </w:t>
      </w:r>
      <w:r>
        <w:rPr>
          <w:rFonts w:ascii="Calibri" w:cs="Calibri" w:eastAsia="Calibri" w:hAnsi="Calibri"/>
          <w:sz w:val="13"/>
          <w:szCs w:val="13"/>
          <w:color w:val="212529"/>
        </w:rPr>
        <w:t>$33.4 million</w:t>
      </w:r>
      <w:r>
        <w:rPr>
          <w:rFonts w:ascii="Calibri" w:cs="Calibri" w:eastAsia="Calibri" w:hAnsi="Calibri"/>
          <w:sz w:val="13"/>
          <w:szCs w:val="13"/>
          <w:color w:val="181818"/>
        </w:rPr>
        <w:t xml:space="preserve">, a </w:t>
      </w:r>
      <w:r>
        <w:rPr>
          <w:rFonts w:ascii="Calibri" w:cs="Calibri" w:eastAsia="Calibri" w:hAnsi="Calibri"/>
          <w:sz w:val="13"/>
          <w:szCs w:val="13"/>
          <w:color w:val="000000"/>
        </w:rPr>
        <w:t>20.6%</w:t>
      </w:r>
      <w:r>
        <w:rPr>
          <w:rFonts w:ascii="Calibri" w:cs="Calibri" w:eastAsia="Calibri" w:hAnsi="Calibri"/>
          <w:sz w:val="13"/>
          <w:szCs w:val="13"/>
          <w:color w:val="181818"/>
        </w:rPr>
        <w:t xml:space="preserve"> increase from Q1 2023, and Adjusted EBITDA of </w:t>
      </w:r>
      <w:r>
        <w:rPr>
          <w:rFonts w:ascii="Calibri" w:cs="Calibri" w:eastAsia="Calibri" w:hAnsi="Calibri"/>
          <w:sz w:val="13"/>
          <w:szCs w:val="13"/>
          <w:color w:val="212529"/>
        </w:rPr>
        <w:t>$6.7 million, a</w:t>
      </w:r>
      <w:r>
        <w:rPr>
          <w:rFonts w:ascii="Calibri" w:cs="Calibri" w:eastAsia="Calibri" w:hAnsi="Calibri"/>
          <w:sz w:val="13"/>
          <w:szCs w:val="13"/>
          <w:color w:val="181818"/>
        </w:rPr>
        <w:t xml:space="preserve"> </w:t>
      </w:r>
      <w:r>
        <w:rPr>
          <w:rFonts w:ascii="Calibri" w:cs="Calibri" w:eastAsia="Calibri" w:hAnsi="Calibri"/>
          <w:sz w:val="13"/>
          <w:szCs w:val="13"/>
          <w:color w:val="000000"/>
        </w:rPr>
        <w:t>21.8%</w:t>
      </w:r>
      <w:r>
        <w:rPr>
          <w:rFonts w:ascii="Calibri" w:cs="Calibri" w:eastAsia="Calibri" w:hAnsi="Calibri"/>
          <w:sz w:val="13"/>
          <w:szCs w:val="13"/>
          <w:color w:val="181818"/>
        </w:rPr>
        <w:t xml:space="preserve"> increase from Q1 2023.</w:t>
      </w:r>
    </w:p>
    <w:p>
      <w:pPr>
        <w:spacing w:after="0" w:line="12" w:lineRule="exact"/>
        <w:rPr>
          <w:rFonts w:ascii="Calibri" w:cs="Calibri" w:eastAsia="Calibri" w:hAnsi="Calibri"/>
          <w:sz w:val="13"/>
          <w:szCs w:val="13"/>
          <w:color w:val="212529"/>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181818"/>
        </w:rPr>
        <w:t>Growth across key channels, including the U.S. physician dispensed channel, combined with strong acceleraton in e-commerce, and expansion of internatonal distributors.</w:t>
      </w:r>
    </w:p>
    <w:p>
      <w:pPr>
        <w:spacing w:after="0" w:line="12" w:lineRule="exact"/>
        <w:rPr>
          <w:rFonts w:ascii="Calibri" w:cs="Calibri" w:eastAsia="Calibri" w:hAnsi="Calibri"/>
          <w:sz w:val="13"/>
          <w:szCs w:val="13"/>
          <w:color w:val="auto"/>
        </w:rPr>
      </w:pPr>
    </w:p>
    <w:p>
      <w:pPr>
        <w:ind w:left="420" w:hanging="212"/>
        <w:spacing w:after="0"/>
        <w:tabs>
          <w:tab w:leader="none" w:pos="420" w:val="left"/>
        </w:tabs>
        <w:numPr>
          <w:ilvl w:val="0"/>
          <w:numId w:val="4"/>
        </w:numPr>
        <w:rPr>
          <w:rFonts w:ascii="Calibri" w:cs="Calibri" w:eastAsia="Calibri" w:hAnsi="Calibri"/>
          <w:sz w:val="13"/>
          <w:szCs w:val="13"/>
          <w:color w:val="181818"/>
        </w:rPr>
      </w:pPr>
      <w:r>
        <w:rPr>
          <w:rFonts w:ascii="Calibri" w:cs="Calibri" w:eastAsia="Calibri" w:hAnsi="Calibri"/>
          <w:sz w:val="13"/>
          <w:szCs w:val="13"/>
          <w:color w:val="181818"/>
        </w:rPr>
        <w:t>Total e-commerce sales more than doubled in Q1 2024 vs Q1 2023 driving a substantally improved Gross Margin mix.</w:t>
      </w:r>
    </w:p>
    <w:p>
      <w:pPr>
        <w:spacing w:after="0" w:line="14" w:lineRule="exact"/>
        <w:rPr>
          <w:rFonts w:ascii="Calibri" w:cs="Calibri" w:eastAsia="Calibri" w:hAnsi="Calibri"/>
          <w:sz w:val="13"/>
          <w:szCs w:val="13"/>
          <w:color w:val="181818"/>
        </w:rPr>
      </w:pPr>
    </w:p>
    <w:p>
      <w:pPr>
        <w:ind w:left="420" w:hanging="212"/>
        <w:spacing w:after="0" w:line="255" w:lineRule="auto"/>
        <w:tabs>
          <w:tab w:leader="none" w:pos="415" w:val="left"/>
        </w:tabs>
        <w:numPr>
          <w:ilvl w:val="0"/>
          <w:numId w:val="4"/>
        </w:numPr>
        <w:rPr>
          <w:rFonts w:ascii="Calibri" w:cs="Calibri" w:eastAsia="Calibri" w:hAnsi="Calibri"/>
          <w:sz w:val="13"/>
          <w:szCs w:val="13"/>
          <w:color w:val="181818"/>
        </w:rPr>
      </w:pPr>
      <w:r>
        <w:rPr>
          <w:rFonts w:ascii="Calibri" w:cs="Calibri" w:eastAsia="Calibri" w:hAnsi="Calibri"/>
          <w:sz w:val="13"/>
          <w:szCs w:val="13"/>
          <w:color w:val="181818"/>
        </w:rPr>
        <w:t>Robust results from the acceleraton of innovaton with the strong performance of Daily Hydro-Drops® Rejuvenatng Eye Gel Cream (a powerhouse innovaton to expand the popular Daily Hydro-Drops® franchise).</w:t>
      </w:r>
    </w:p>
    <w:p>
      <w:pPr>
        <w:spacing w:after="0" w:line="4" w:lineRule="exact"/>
        <w:rPr>
          <w:rFonts w:ascii="Calibri" w:cs="Calibri" w:eastAsia="Calibri" w:hAnsi="Calibri"/>
          <w:sz w:val="13"/>
          <w:szCs w:val="13"/>
          <w:color w:val="181818"/>
        </w:rPr>
      </w:pPr>
    </w:p>
    <w:p>
      <w:pPr>
        <w:ind w:left="420" w:right="20" w:hanging="212"/>
        <w:spacing w:after="0" w:line="255" w:lineRule="auto"/>
        <w:tabs>
          <w:tab w:leader="none" w:pos="415"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181818"/>
        </w:rPr>
        <w:t>As previously announced, we have established subsidiaries in Southeast Asia to strengthen our presence in the region. We started operatons in Vietnam in Q3 2023, and expect to expand into new markets shortly. We are stll in the ramp up period of this new go-to-market structure and we have not yet reached the level of sales we had with the former distributor.</w:t>
      </w:r>
    </w:p>
    <w:p>
      <w:pPr>
        <w:spacing w:after="0" w:line="3" w:lineRule="exact"/>
        <w:rPr>
          <w:rFonts w:ascii="Calibri" w:cs="Calibri" w:eastAsia="Calibri" w:hAnsi="Calibri"/>
          <w:sz w:val="13"/>
          <w:szCs w:val="13"/>
          <w:color w:val="auto"/>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181818"/>
        </w:rPr>
        <w:t>Focus on proftable growth contnues, with strong emphasis on Gross Margin and acceleratng investment in business drivers to support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3</w:t>
      </w:r>
    </w:p>
    <w:p>
      <w:pPr>
        <w:sectPr>
          <w:pgSz w:w="11900" w:h="16838" w:orient="portrait"/>
          <w:cols w:equalWidth="0" w:num="1">
            <w:col w:w="11300"/>
          </w:cols>
          <w:pgMar w:left="300" w:top="697" w:right="299" w:bottom="1440" w:gutter="0" w:footer="0" w:header="0"/>
        </w:sectPr>
      </w:pPr>
    </w:p>
    <w:bookmarkStart w:id="6" w:name="page7"/>
    <w:bookmarkEnd w:id="6"/>
    <w:p>
      <w:pPr>
        <w:ind w:left="8"/>
        <w:spacing w:after="0"/>
        <w:rPr>
          <w:sz w:val="20"/>
          <w:szCs w:val="20"/>
          <w:color w:val="auto"/>
        </w:rPr>
      </w:pPr>
      <w:r>
        <w:rPr>
          <w:rFonts w:ascii="Calibri" w:cs="Calibri" w:eastAsia="Calibri" w:hAnsi="Calibri"/>
          <w:sz w:val="13"/>
          <w:szCs w:val="13"/>
          <w:u w:val="single" w:color="auto"/>
          <w:color w:val="181818"/>
        </w:rPr>
        <w:t>Milk Makeup:</w:t>
      </w:r>
    </w:p>
    <w:p>
      <w:pPr>
        <w:spacing w:after="0" w:line="23" w:lineRule="exact"/>
        <w:rPr>
          <w:sz w:val="20"/>
          <w:szCs w:val="20"/>
          <w:color w:val="auto"/>
        </w:rPr>
      </w:pPr>
    </w:p>
    <w:p>
      <w:pPr>
        <w:ind w:left="428" w:hanging="212"/>
        <w:spacing w:after="0"/>
        <w:tabs>
          <w:tab w:leader="none" w:pos="428" w:val="left"/>
        </w:tabs>
        <w:numPr>
          <w:ilvl w:val="0"/>
          <w:numId w:val="5"/>
        </w:numPr>
        <w:rPr>
          <w:rFonts w:ascii="Arial" w:cs="Arial" w:eastAsia="Arial" w:hAnsi="Arial"/>
          <w:sz w:val="14"/>
          <w:szCs w:val="14"/>
          <w:color w:val="auto"/>
        </w:rPr>
      </w:pPr>
      <w:r>
        <w:rPr>
          <w:rFonts w:ascii="Calibri" w:cs="Calibri" w:eastAsia="Calibri" w:hAnsi="Calibri"/>
          <w:sz w:val="13"/>
          <w:szCs w:val="13"/>
          <w:color w:val="181818"/>
        </w:rPr>
        <w:t xml:space="preserve">Net Revenue of </w:t>
      </w:r>
      <w:r>
        <w:rPr>
          <w:rFonts w:ascii="Calibri" w:cs="Calibri" w:eastAsia="Calibri" w:hAnsi="Calibri"/>
          <w:sz w:val="13"/>
          <w:szCs w:val="13"/>
          <w:color w:val="212529"/>
        </w:rPr>
        <w:t>$34.5 million</w:t>
      </w:r>
      <w:r>
        <w:rPr>
          <w:rFonts w:ascii="Calibri" w:cs="Calibri" w:eastAsia="Calibri" w:hAnsi="Calibri"/>
          <w:sz w:val="13"/>
          <w:szCs w:val="13"/>
          <w:color w:val="181818"/>
        </w:rPr>
        <w:t xml:space="preserve">, a growth of </w:t>
      </w:r>
      <w:r>
        <w:rPr>
          <w:rFonts w:ascii="Calibri" w:cs="Calibri" w:eastAsia="Calibri" w:hAnsi="Calibri"/>
          <w:sz w:val="13"/>
          <w:szCs w:val="13"/>
          <w:color w:val="000000"/>
        </w:rPr>
        <w:t>21.5%</w:t>
      </w:r>
      <w:r>
        <w:rPr>
          <w:rFonts w:ascii="Calibri" w:cs="Calibri" w:eastAsia="Calibri" w:hAnsi="Calibri"/>
          <w:sz w:val="13"/>
          <w:szCs w:val="13"/>
          <w:color w:val="181818"/>
        </w:rPr>
        <w:t xml:space="preserve"> vs. Q1 2023, whilst delivering Adjusted EBITDA of </w:t>
      </w:r>
      <w:r>
        <w:rPr>
          <w:rFonts w:ascii="Calibri" w:cs="Calibri" w:eastAsia="Calibri" w:hAnsi="Calibri"/>
          <w:sz w:val="13"/>
          <w:szCs w:val="13"/>
          <w:color w:val="212529"/>
        </w:rPr>
        <w:t>$10.0 million</w:t>
      </w:r>
      <w:r>
        <w:rPr>
          <w:rFonts w:ascii="Calibri" w:cs="Calibri" w:eastAsia="Calibri" w:hAnsi="Calibri"/>
          <w:sz w:val="13"/>
          <w:szCs w:val="13"/>
          <w:color w:val="181818"/>
        </w:rPr>
        <w:t xml:space="preserve"> increasing </w:t>
      </w:r>
      <w:r>
        <w:rPr>
          <w:rFonts w:ascii="Calibri" w:cs="Calibri" w:eastAsia="Calibri" w:hAnsi="Calibri"/>
          <w:sz w:val="13"/>
          <w:szCs w:val="13"/>
          <w:color w:val="000000"/>
        </w:rPr>
        <w:t>12.4%</w:t>
      </w:r>
      <w:r>
        <w:rPr>
          <w:rFonts w:ascii="Calibri" w:cs="Calibri" w:eastAsia="Calibri" w:hAnsi="Calibri"/>
          <w:sz w:val="13"/>
          <w:szCs w:val="13"/>
          <w:color w:val="181818"/>
        </w:rPr>
        <w:t xml:space="preserve"> from Q1 2023.</w:t>
      </w:r>
    </w:p>
    <w:p>
      <w:pPr>
        <w:spacing w:after="0" w:line="14" w:lineRule="exact"/>
        <w:rPr>
          <w:rFonts w:ascii="Arial" w:cs="Arial" w:eastAsia="Arial" w:hAnsi="Arial"/>
          <w:sz w:val="14"/>
          <w:szCs w:val="14"/>
          <w:color w:val="auto"/>
        </w:rPr>
      </w:pPr>
    </w:p>
    <w:p>
      <w:pPr>
        <w:ind w:left="428" w:hanging="212"/>
        <w:spacing w:after="0" w:line="255" w:lineRule="auto"/>
        <w:tabs>
          <w:tab w:leader="none" w:pos="423" w:val="left"/>
        </w:tabs>
        <w:numPr>
          <w:ilvl w:val="0"/>
          <w:numId w:val="5"/>
        </w:numPr>
        <w:rPr>
          <w:rFonts w:ascii="Calibri" w:cs="Calibri" w:eastAsia="Calibri" w:hAnsi="Calibri"/>
          <w:sz w:val="13"/>
          <w:szCs w:val="13"/>
          <w:color w:val="181818"/>
        </w:rPr>
      </w:pPr>
      <w:r>
        <w:rPr>
          <w:rFonts w:ascii="Calibri" w:cs="Calibri" w:eastAsia="Calibri" w:hAnsi="Calibri"/>
          <w:sz w:val="13"/>
          <w:szCs w:val="13"/>
          <w:color w:val="181818"/>
        </w:rPr>
        <w:t>Robust growth in North America, and in our e-commerce channel combined with contnued tracton of our internatonal expansion, including highly successful brand launches at key retailers in Scandinavia and the U.K. driving performance.</w:t>
      </w:r>
    </w:p>
    <w:p>
      <w:pPr>
        <w:spacing w:after="0" w:line="4" w:lineRule="exact"/>
        <w:rPr>
          <w:rFonts w:ascii="Calibri" w:cs="Calibri" w:eastAsia="Calibri" w:hAnsi="Calibri"/>
          <w:sz w:val="13"/>
          <w:szCs w:val="13"/>
          <w:color w:val="181818"/>
        </w:rPr>
      </w:pPr>
    </w:p>
    <w:p>
      <w:pPr>
        <w:jc w:val="both"/>
        <w:ind w:left="428" w:hanging="212"/>
        <w:spacing w:after="0" w:line="257" w:lineRule="auto"/>
        <w:tabs>
          <w:tab w:leader="none" w:pos="423" w:val="left"/>
        </w:tabs>
        <w:numPr>
          <w:ilvl w:val="0"/>
          <w:numId w:val="5"/>
        </w:numPr>
        <w:rPr>
          <w:rFonts w:ascii="Calibri" w:cs="Calibri" w:eastAsia="Calibri" w:hAnsi="Calibri"/>
          <w:sz w:val="13"/>
          <w:szCs w:val="13"/>
          <w:color w:val="181818"/>
        </w:rPr>
      </w:pPr>
      <w:r>
        <w:rPr>
          <w:rFonts w:ascii="Calibri" w:cs="Calibri" w:eastAsia="Calibri" w:hAnsi="Calibri"/>
          <w:sz w:val="13"/>
          <w:szCs w:val="13"/>
          <w:color w:val="181818"/>
        </w:rPr>
        <w:t>Accelerated innovaton and launched three category leading innovatons: Cloud Foaming Primer, an industry frst texture for primers with a glow fnish. Kush Lip Oils, building on our successful Kush franchise for a sheer, non-stcky hydratng lip oil that delivers an intense hit of hydraton and shine. And our viral Cooling Water Jelly Tint, a long-lastng lip and cheek stain with a unique hydratng, bouncy jelly texture for a buildable burst of color.</w:t>
      </w:r>
    </w:p>
    <w:p>
      <w:pPr>
        <w:spacing w:after="0" w:line="3" w:lineRule="exact"/>
        <w:rPr>
          <w:rFonts w:ascii="Calibri" w:cs="Calibri" w:eastAsia="Calibri" w:hAnsi="Calibri"/>
          <w:sz w:val="13"/>
          <w:szCs w:val="13"/>
          <w:color w:val="181818"/>
        </w:rPr>
      </w:pPr>
    </w:p>
    <w:p>
      <w:pPr>
        <w:ind w:left="428" w:right="20" w:hanging="212"/>
        <w:spacing w:after="0" w:line="269" w:lineRule="auto"/>
        <w:tabs>
          <w:tab w:leader="none" w:pos="423"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181818"/>
        </w:rPr>
        <w:t xml:space="preserve">Adjusted EBITDA margin contracted as planned from </w:t>
      </w:r>
      <w:r>
        <w:rPr>
          <w:rFonts w:ascii="Calibri" w:cs="Calibri" w:eastAsia="Calibri" w:hAnsi="Calibri"/>
          <w:sz w:val="13"/>
          <w:szCs w:val="13"/>
          <w:color w:val="000000"/>
        </w:rPr>
        <w:t>31.4%</w:t>
      </w:r>
      <w:r>
        <w:rPr>
          <w:rFonts w:ascii="Calibri" w:cs="Calibri" w:eastAsia="Calibri" w:hAnsi="Calibri"/>
          <w:sz w:val="13"/>
          <w:szCs w:val="13"/>
          <w:color w:val="181818"/>
        </w:rPr>
        <w:t xml:space="preserve"> in Q1 2023 to </w:t>
      </w:r>
      <w:r>
        <w:rPr>
          <w:rFonts w:ascii="Calibri" w:cs="Calibri" w:eastAsia="Calibri" w:hAnsi="Calibri"/>
          <w:sz w:val="13"/>
          <w:szCs w:val="13"/>
          <w:color w:val="000000"/>
        </w:rPr>
        <w:t>29.1%</w:t>
      </w:r>
      <w:r>
        <w:rPr>
          <w:rFonts w:ascii="Calibri" w:cs="Calibri" w:eastAsia="Calibri" w:hAnsi="Calibri"/>
          <w:sz w:val="13"/>
          <w:szCs w:val="13"/>
          <w:color w:val="181818"/>
        </w:rPr>
        <w:t xml:space="preserve"> in Q1 2024 due to investments in innovaton launches. Our focus on proftable growth contnues, with strong emphasis on Gross Margin and acceleratng investment in marketng, community, and internatonal structure to support growth.</w:t>
      </w:r>
    </w:p>
    <w:p>
      <w:pPr>
        <w:spacing w:after="0" w:line="156"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auto"/>
        </w:rPr>
        <w:t>Conference Call and Webcast Informaton</w:t>
      </w:r>
    </w:p>
    <w:p>
      <w:pPr>
        <w:ind w:left="8"/>
        <w:spacing w:after="0" w:line="231" w:lineRule="auto"/>
        <w:rPr>
          <w:sz w:val="20"/>
          <w:szCs w:val="20"/>
          <w:color w:val="auto"/>
        </w:rPr>
      </w:pPr>
      <w:r>
        <w:rPr>
          <w:rFonts w:ascii="Calibri" w:cs="Calibri" w:eastAsia="Calibri" w:hAnsi="Calibri"/>
          <w:sz w:val="13"/>
          <w:szCs w:val="13"/>
          <w:color w:val="181818"/>
        </w:rPr>
        <w:t>Waldencast will host a conference call to discuss its frst quarter results ended March 31, 2024, today, May 21, 2024, at 8:30 AM ET. Those interested in partcipatng in the conference call are invited to dial</w:t>
      </w:r>
    </w:p>
    <w:p>
      <w:pPr>
        <w:ind w:left="8" w:hanging="8"/>
        <w:spacing w:after="0" w:line="217" w:lineRule="auto"/>
        <w:tabs>
          <w:tab w:leader="none" w:pos="330" w:val="left"/>
        </w:tabs>
        <w:numPr>
          <w:ilvl w:val="0"/>
          <w:numId w:val="6"/>
        </w:numPr>
        <w:rPr>
          <w:rFonts w:ascii="Calibri" w:cs="Calibri" w:eastAsia="Calibri" w:hAnsi="Calibri"/>
          <w:sz w:val="13"/>
          <w:szCs w:val="13"/>
          <w:color w:val="181818"/>
        </w:rPr>
      </w:pPr>
      <w:r>
        <w:rPr>
          <w:rFonts w:ascii="Calibri" w:cs="Calibri" w:eastAsia="Calibri" w:hAnsi="Calibri"/>
          <w:sz w:val="13"/>
          <w:szCs w:val="13"/>
          <w:color w:val="181818"/>
        </w:rPr>
        <w:t>704-4453. Internatonal callers may dial (201) 389-0920. A live webcast of the conference call will include a slide presentaton and will be available online at htps://ir.waldencast.com/. A replay of the webcast will remain available on the website untl the Company's next conference call. The informaton accessible on, or through, our website is not incorporated by reference into this release.</w:t>
      </w:r>
    </w:p>
    <w:p>
      <w:pPr>
        <w:spacing w:after="0" w:line="391" w:lineRule="exact"/>
        <w:rPr>
          <w:sz w:val="20"/>
          <w:szCs w:val="20"/>
          <w:color w:val="auto"/>
        </w:rPr>
      </w:pPr>
    </w:p>
    <w:p>
      <w:pPr>
        <w:jc w:val="center"/>
        <w:ind w:right="-7"/>
        <w:spacing w:after="0"/>
        <w:rPr>
          <w:sz w:val="20"/>
          <w:szCs w:val="20"/>
          <w:color w:val="auto"/>
        </w:rPr>
      </w:pPr>
      <w:r>
        <w:rPr>
          <w:rFonts w:ascii="Calibri" w:cs="Calibri" w:eastAsia="Calibri" w:hAnsi="Calibri"/>
          <w:sz w:val="13"/>
          <w:szCs w:val="13"/>
          <w:color w:val="auto"/>
        </w:rPr>
        <w:t>4</w:t>
      </w:r>
    </w:p>
    <w:p>
      <w:pPr>
        <w:sectPr>
          <w:pgSz w:w="11900" w:h="16838" w:orient="portrait"/>
          <w:cols w:equalWidth="0" w:num="1">
            <w:col w:w="11308"/>
          </w:cols>
          <w:pgMar w:left="292" w:top="670" w:right="29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b w:val="1"/>
          <w:bCs w:val="1"/>
          <w:u w:val="single" w:color="auto"/>
          <w:color w:val="auto"/>
        </w:rPr>
        <w:t>Non-GAAP Financial Measures</w:t>
      </w:r>
    </w:p>
    <w:p>
      <w:pPr>
        <w:spacing w:after="0" w:line="2" w:lineRule="exact"/>
        <w:rPr>
          <w:sz w:val="20"/>
          <w:szCs w:val="20"/>
          <w:color w:val="auto"/>
        </w:rPr>
      </w:pPr>
    </w:p>
    <w:p>
      <w:pPr>
        <w:jc w:val="both"/>
        <w:spacing w:after="0" w:line="229" w:lineRule="auto"/>
        <w:rPr>
          <w:sz w:val="20"/>
          <w:szCs w:val="20"/>
          <w:color w:val="auto"/>
        </w:rPr>
      </w:pPr>
      <w:r>
        <w:rPr>
          <w:rFonts w:ascii="Calibri" w:cs="Calibri" w:eastAsia="Calibri" w:hAnsi="Calibri"/>
          <w:sz w:val="13"/>
          <w:szCs w:val="13"/>
          <w:i w:val="1"/>
          <w:iCs w:val="1"/>
          <w:color w:val="auto"/>
        </w:rPr>
        <w:t xml:space="preserve">In additon to the fnancial measures presented in this release in accordance with </w:t>
      </w:r>
      <w:r>
        <w:rPr>
          <w:rFonts w:ascii="Calibri" w:cs="Calibri" w:eastAsia="Calibri" w:hAnsi="Calibri"/>
          <w:sz w:val="13"/>
          <w:szCs w:val="13"/>
          <w:i w:val="1"/>
          <w:iCs w:val="1"/>
          <w:color w:val="181818"/>
        </w:rPr>
        <w:t>U.S. GAAP,</w:t>
      </w:r>
      <w:r>
        <w:rPr>
          <w:rFonts w:ascii="Calibri" w:cs="Calibri" w:eastAsia="Calibri" w:hAnsi="Calibri"/>
          <w:sz w:val="13"/>
          <w:szCs w:val="13"/>
          <w:i w:val="1"/>
          <w:iCs w:val="1"/>
          <w:color w:val="auto"/>
        </w:rPr>
        <w:t xml:space="preserve"> Waldencast separately reports fnancial results on the basis of the measures set out and defned below which are non-GAAP fnancial measures. </w:t>
      </w:r>
      <w:r>
        <w:rPr>
          <w:rFonts w:ascii="Calibri" w:cs="Calibri" w:eastAsia="Calibri" w:hAnsi="Calibri"/>
          <w:sz w:val="13"/>
          <w:szCs w:val="13"/>
          <w:i w:val="1"/>
          <w:iCs w:val="1"/>
          <w:color w:val="181818"/>
        </w:rPr>
        <w:t>Waldencast</w:t>
      </w:r>
      <w:r>
        <w:rPr>
          <w:rFonts w:ascii="Calibri" w:cs="Calibri" w:eastAsia="Calibri" w:hAnsi="Calibri"/>
          <w:sz w:val="13"/>
          <w:szCs w:val="13"/>
          <w:i w:val="1"/>
          <w:iCs w:val="1"/>
          <w:color w:val="auto"/>
        </w:rPr>
        <w:t xml:space="preserve"> believes the non-GAAP measures used in this release provide useful informaton to management and investors regarding certain fnancial and business trends relatng to its fnancial conditon and results of operatons. Waldencast believes that the use of these non-GAAP fnancial measures provides an additonal tool for investors to use in evaluatng ongoing operatng results and trends given the business combinaton ("Business Combinaton") of Waldencast with Obagi Global Holdings Limited ("Obagi Skincare") and Milk Makeup LLC ("Milk Makeup") on July 27, 2022 and certain other factors. These non-GAAP measures also provide perspectve on how Waldencast’s management evaluates and monitors the performance of the business.</w:t>
      </w:r>
    </w:p>
    <w:p>
      <w:pPr>
        <w:spacing w:after="0" w:line="152" w:lineRule="exact"/>
        <w:rPr>
          <w:sz w:val="20"/>
          <w:szCs w:val="20"/>
          <w:color w:val="auto"/>
        </w:rPr>
      </w:pPr>
    </w:p>
    <w:p>
      <w:pPr>
        <w:jc w:val="both"/>
        <w:spacing w:after="0" w:line="228" w:lineRule="auto"/>
        <w:rPr>
          <w:sz w:val="20"/>
          <w:szCs w:val="20"/>
          <w:color w:val="auto"/>
        </w:rPr>
      </w:pPr>
      <w:r>
        <w:rPr>
          <w:rFonts w:ascii="Calibri" w:cs="Calibri" w:eastAsia="Calibri" w:hAnsi="Calibri"/>
          <w:sz w:val="13"/>
          <w:szCs w:val="13"/>
          <w:i w:val="1"/>
          <w:iCs w:val="1"/>
          <w:color w:val="auto"/>
        </w:rPr>
        <w:t>There are limitatons to non-GAAP fnancial measures because they exclude charges and credits that are required to be included in GAAP fnancial presentaton. The items excluded from GAAP fnancial measures such as net income/loss to arrive at non-GAAP fnancial measures are signifcant components for understanding and assessing our fnancial performance. Non-GAAP fnancial measures should be considered together with, and not alternatves to, fnancial measures prepared in accordance with GAAP.</w:t>
      </w:r>
    </w:p>
    <w:p>
      <w:pPr>
        <w:spacing w:after="0" w:line="158"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Please refer to defnitons set out in the release and the tables included in this release for a reconciliaton of these metrics to the most directly comparable GAAP fnancial measures.</w:t>
      </w:r>
    </w:p>
    <w:p>
      <w:pPr>
        <w:spacing w:after="0" w:line="149" w:lineRule="exact"/>
        <w:rPr>
          <w:sz w:val="20"/>
          <w:szCs w:val="20"/>
          <w:color w:val="auto"/>
        </w:rPr>
      </w:pPr>
    </w:p>
    <w:p>
      <w:pPr>
        <w:jc w:val="both"/>
        <w:spacing w:after="0"/>
        <w:rPr>
          <w:sz w:val="20"/>
          <w:szCs w:val="20"/>
          <w:color w:val="auto"/>
        </w:rPr>
      </w:pPr>
      <w:r>
        <w:rPr>
          <w:rFonts w:ascii="Calibri" w:cs="Calibri" w:eastAsia="Calibri" w:hAnsi="Calibri"/>
          <w:sz w:val="13"/>
          <w:szCs w:val="13"/>
          <w:b w:val="1"/>
          <w:bCs w:val="1"/>
          <w:color w:val="auto"/>
        </w:rPr>
        <w:t xml:space="preserve">Comparable Net Revenue </w:t>
      </w:r>
      <w:r>
        <w:rPr>
          <w:rFonts w:ascii="Calibri" w:cs="Calibri" w:eastAsia="Calibri" w:hAnsi="Calibri"/>
          <w:sz w:val="13"/>
          <w:szCs w:val="13"/>
          <w:color w:val="auto"/>
        </w:rPr>
        <w:t>is defned as Net Revenue excluding sales related to the former Obagi Skincare China business, which was not acquired by Waldencast at the tme of the Business Combinaton (the</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“Obagi China Business”) as was presented in previous earnings releases. The sales to the Obagi China business have a below market sales price for a defned period of tme afer the acquisiton of Obagi Skincare. As a result of the acquisiton, a below market contract liability was recognized and is amortzed based on sales. This adjustment is shown in the Adjusted EBITDA reconciliaton. Management believes that this non-GAAP measures provides perspectve on how Waldencast’s management evaluates and monitors the performance of the business. See reconciliaton to U.S. GAAP Net Revenue above in the Q1 2024 Highlights secton.</w:t>
      </w:r>
    </w:p>
    <w:p>
      <w:pPr>
        <w:spacing w:after="0" w:line="211" w:lineRule="exact"/>
        <w:rPr>
          <w:sz w:val="20"/>
          <w:szCs w:val="20"/>
          <w:color w:val="auto"/>
        </w:rPr>
      </w:pPr>
    </w:p>
    <w:p>
      <w:pPr>
        <w:jc w:val="both"/>
        <w:spacing w:after="0"/>
        <w:rPr>
          <w:sz w:val="20"/>
          <w:szCs w:val="20"/>
          <w:color w:val="auto"/>
        </w:rPr>
      </w:pPr>
      <w:r>
        <w:rPr>
          <w:rFonts w:ascii="Calibri" w:cs="Calibri" w:eastAsia="Calibri" w:hAnsi="Calibri"/>
          <w:sz w:val="13"/>
          <w:szCs w:val="13"/>
          <w:b w:val="1"/>
          <w:bCs w:val="1"/>
          <w:color w:val="181818"/>
        </w:rPr>
        <w:t xml:space="preserve">Adjusted EBITDA </w:t>
      </w:r>
      <w:r>
        <w:rPr>
          <w:rFonts w:ascii="Calibri" w:cs="Calibri" w:eastAsia="Calibri" w:hAnsi="Calibri"/>
          <w:sz w:val="13"/>
          <w:szCs w:val="13"/>
          <w:color w:val="181818"/>
        </w:rPr>
        <w:t>is defned as GAAP net income (loss) before interest income or expense, income tax (beneft) expense, depreciaton and amortzaton, and further adjusted for the items as described in the</w:t>
      </w:r>
      <w:r>
        <w:rPr>
          <w:rFonts w:ascii="Calibri" w:cs="Calibri" w:eastAsia="Calibri" w:hAnsi="Calibri"/>
          <w:sz w:val="13"/>
          <w:szCs w:val="13"/>
          <w:b w:val="1"/>
          <w:bCs w:val="1"/>
          <w:color w:val="181818"/>
        </w:rPr>
        <w:t xml:space="preserve"> </w:t>
      </w:r>
      <w:r>
        <w:rPr>
          <w:rFonts w:ascii="Calibri" w:cs="Calibri" w:eastAsia="Calibri" w:hAnsi="Calibri"/>
          <w:sz w:val="13"/>
          <w:szCs w:val="13"/>
          <w:color w:val="181818"/>
        </w:rPr>
        <w:t>reconciliaton below. We believe this informaton will be useful for investors to facilitate comparisons of our operatng performance and beter identfy trends in our business. Adjusted EBITDA excludes certain expenses that are required to be presented in accordance with GAAP because management believes they are non-core to our regular business. These include non-cash expenses, such as stock-based compensaton, inventory fair value adjustments, the amortzaton of fair value of the related party liability to the Obagi China Business, change in fair value of fnancial instruments, loss on impairment of leases, and foreign currency transacton loss (gain). In additon adjustments include expenses that are not related to our underlying business performance including (1) legal, advisory and consultant fees related to the fnancial restatement of previously issued fnancial statements and the SEC investgaton; (2) costs to recover and the value of the inventory recovered from the acquisiton of the Vietnam distributor, and the associated discontnued product; and (3) other non-recurring costs, primarily legal setlement costs and contract terminaton costs. The Adjusted EBITDA by Segment for each period is included in the Appendix.</w:t>
      </w:r>
    </w:p>
    <w:p>
      <w:pPr>
        <w:spacing w:after="0" w:line="25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181818"/>
        </w:rPr>
        <w:t xml:space="preserve">Adjusted EBITDA Margin </w:t>
      </w:r>
      <w:r>
        <w:rPr>
          <w:rFonts w:ascii="Calibri" w:cs="Calibri" w:eastAsia="Calibri" w:hAnsi="Calibri"/>
          <w:sz w:val="13"/>
          <w:szCs w:val="13"/>
          <w:color w:val="181818"/>
        </w:rPr>
        <w:t>is defned as Adjusted EBITDA as a percentage of net revenue. The Adjusted EBITDA Margin reconciliaton by Segment for each period is included in the Appendix.</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5</w:t>
      </w:r>
    </w:p>
    <w:p>
      <w:pPr>
        <w:sectPr>
          <w:pgSz w:w="11900" w:h="16838" w:orient="portrait"/>
          <w:cols w:equalWidth="0" w:num="1">
            <w:col w:w="11300"/>
          </w:cols>
          <w:pgMar w:left="300" w:top="670" w:right="299" w:bottom="1440" w:gutter="0" w:footer="0" w:header="0"/>
        </w:sectPr>
      </w:pPr>
    </w:p>
    <w:bookmarkStart w:id="8" w:name="page9"/>
    <w:bookmarkEnd w:id="8"/>
    <w:tbl>
      <w:tblPr>
        <w:tblLayout w:type="fixed"/>
        <w:tblInd w:w="8" w:type="dxa"/>
        <w:tblCellMar>
          <w:top w:w="0" w:type="dxa"/>
          <w:left w:w="0" w:type="dxa"/>
          <w:bottom w:w="0" w:type="dxa"/>
          <w:right w:w="0" w:type="dxa"/>
        </w:tblCellMar>
      </w:tblPr>
      <w:tr>
        <w:trPr>
          <w:trHeight w:val="159"/>
        </w:trPr>
        <w:tc>
          <w:tcPr>
            <w:tcW w:w="6400" w:type="dxa"/>
            <w:vAlign w:val="bottom"/>
            <w:vMerge w:val="restart"/>
          </w:tcPr>
          <w:p>
            <w:pPr>
              <w:spacing w:after="0"/>
              <w:rPr>
                <w:sz w:val="20"/>
                <w:szCs w:val="20"/>
                <w:color w:val="auto"/>
              </w:rPr>
            </w:pPr>
            <w:r>
              <w:rPr>
                <w:rFonts w:ascii="Calibri" w:cs="Calibri" w:eastAsia="Calibri" w:hAnsi="Calibri"/>
                <w:sz w:val="13"/>
                <w:szCs w:val="13"/>
                <w:i w:val="1"/>
                <w:iCs w:val="1"/>
                <w:color w:val="auto"/>
              </w:rPr>
              <w:t>U.S. Dollars (in thousands except for percentages)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174"/>
              <w:spacing w:after="0"/>
              <w:rPr>
                <w:sz w:val="20"/>
                <w:szCs w:val="20"/>
                <w:color w:val="auto"/>
              </w:rPr>
            </w:pPr>
            <w:r>
              <w:rPr>
                <w:rFonts w:ascii="Calibri" w:cs="Calibri" w:eastAsia="Calibri" w:hAnsi="Calibri"/>
                <w:sz w:val="13"/>
                <w:szCs w:val="13"/>
                <w:b w:val="1"/>
                <w:bCs w:val="1"/>
                <w:color w:val="auto"/>
              </w:rPr>
              <w:t>Three Months Ended</w:t>
            </w:r>
          </w:p>
        </w:tc>
        <w:tc>
          <w:tcPr>
            <w:tcW w:w="180" w:type="dxa"/>
            <w:vAlign w:val="bottom"/>
          </w:tcPr>
          <w:p>
            <w:pPr>
              <w:spacing w:after="0"/>
              <w:rPr>
                <w:sz w:val="13"/>
                <w:szCs w:val="13"/>
                <w:color w:val="auto"/>
              </w:rPr>
            </w:pPr>
          </w:p>
        </w:tc>
        <w:tc>
          <w:tcPr>
            <w:tcW w:w="1460" w:type="dxa"/>
            <w:vAlign w:val="bottom"/>
          </w:tcPr>
          <w:p>
            <w:pPr>
              <w:jc w:val="right"/>
              <w:ind w:right="174"/>
              <w:spacing w:after="0"/>
              <w:rPr>
                <w:sz w:val="20"/>
                <w:szCs w:val="20"/>
                <w:color w:val="auto"/>
              </w:rPr>
            </w:pPr>
            <w:r>
              <w:rPr>
                <w:rFonts w:ascii="Calibri" w:cs="Calibri" w:eastAsia="Calibri" w:hAnsi="Calibri"/>
                <w:sz w:val="13"/>
                <w:szCs w:val="13"/>
                <w:b w:val="1"/>
                <w:bCs w:val="1"/>
                <w:color w:val="auto"/>
              </w:rPr>
              <w:t>Three Months Ended</w:t>
            </w:r>
          </w:p>
        </w:tc>
        <w:tc>
          <w:tcPr>
            <w:tcW w:w="160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Year Ended December 31,</w:t>
            </w:r>
          </w:p>
        </w:tc>
        <w:tc>
          <w:tcPr>
            <w:tcW w:w="0" w:type="dxa"/>
            <w:vAlign w:val="bottom"/>
          </w:tcPr>
          <w:p>
            <w:pPr>
              <w:spacing w:after="0"/>
              <w:rPr>
                <w:sz w:val="1"/>
                <w:szCs w:val="1"/>
                <w:color w:val="auto"/>
              </w:rPr>
            </w:pPr>
          </w:p>
        </w:tc>
      </w:tr>
      <w:tr>
        <w:trPr>
          <w:trHeight w:val="157"/>
        </w:trPr>
        <w:tc>
          <w:tcPr>
            <w:tcW w:w="6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314"/>
              <w:spacing w:after="0" w:line="157" w:lineRule="exact"/>
              <w:rPr>
                <w:sz w:val="20"/>
                <w:szCs w:val="20"/>
                <w:color w:val="auto"/>
              </w:rPr>
            </w:pPr>
            <w:r>
              <w:rPr>
                <w:rFonts w:ascii="Calibri" w:cs="Calibri" w:eastAsia="Calibri" w:hAnsi="Calibri"/>
                <w:sz w:val="13"/>
                <w:szCs w:val="13"/>
                <w:b w:val="1"/>
                <w:bCs w:val="1"/>
                <w:color w:val="auto"/>
              </w:rPr>
              <w:t>March 31, 2024</w:t>
            </w:r>
          </w:p>
        </w:tc>
        <w:tc>
          <w:tcPr>
            <w:tcW w:w="180" w:type="dxa"/>
            <w:vAlign w:val="bottom"/>
          </w:tcPr>
          <w:p>
            <w:pPr>
              <w:spacing w:after="0"/>
              <w:rPr>
                <w:sz w:val="13"/>
                <w:szCs w:val="13"/>
                <w:color w:val="auto"/>
              </w:rPr>
            </w:pPr>
          </w:p>
        </w:tc>
        <w:tc>
          <w:tcPr>
            <w:tcW w:w="1460" w:type="dxa"/>
            <w:vAlign w:val="bottom"/>
          </w:tcPr>
          <w:p>
            <w:pPr>
              <w:jc w:val="right"/>
              <w:ind w:right="314"/>
              <w:spacing w:after="0" w:line="157" w:lineRule="exact"/>
              <w:rPr>
                <w:sz w:val="20"/>
                <w:szCs w:val="20"/>
                <w:color w:val="auto"/>
              </w:rPr>
            </w:pPr>
            <w:r>
              <w:rPr>
                <w:rFonts w:ascii="Calibri" w:cs="Calibri" w:eastAsia="Calibri" w:hAnsi="Calibri"/>
                <w:sz w:val="13"/>
                <w:szCs w:val="13"/>
                <w:b w:val="1"/>
                <w:bCs w:val="1"/>
                <w:color w:val="auto"/>
              </w:rPr>
              <w:t>March 31, 2023</w:t>
            </w:r>
          </w:p>
        </w:tc>
        <w:tc>
          <w:tcPr>
            <w:tcW w:w="400" w:type="dxa"/>
            <w:vAlign w:val="bottom"/>
          </w:tcPr>
          <w:p>
            <w:pPr>
              <w:spacing w:after="0"/>
              <w:rPr>
                <w:sz w:val="13"/>
                <w:szCs w:val="13"/>
                <w:color w:val="auto"/>
              </w:rPr>
            </w:pPr>
          </w:p>
        </w:tc>
        <w:tc>
          <w:tcPr>
            <w:tcW w:w="1200" w:type="dxa"/>
            <w:vAlign w:val="bottom"/>
          </w:tcPr>
          <w:p>
            <w:pPr>
              <w:jc w:val="right"/>
              <w:ind w:right="574"/>
              <w:spacing w:after="0" w:line="157" w:lineRule="exact"/>
              <w:rPr>
                <w:sz w:val="20"/>
                <w:szCs w:val="20"/>
                <w:color w:val="auto"/>
              </w:rPr>
            </w:pPr>
            <w:r>
              <w:rPr>
                <w:rFonts w:ascii="Calibri" w:cs="Calibri" w:eastAsia="Calibri" w:hAnsi="Calibri"/>
                <w:sz w:val="13"/>
                <w:szCs w:val="13"/>
                <w:b w:val="1"/>
                <w:bCs w:val="1"/>
                <w:color w:val="auto"/>
              </w:rPr>
              <w:t>2023</w:t>
            </w:r>
          </w:p>
        </w:tc>
        <w:tc>
          <w:tcPr>
            <w:tcW w:w="0" w:type="dxa"/>
            <w:vAlign w:val="bottom"/>
          </w:tcPr>
          <w:p>
            <w:pPr>
              <w:spacing w:after="0"/>
              <w:rPr>
                <w:sz w:val="1"/>
                <w:szCs w:val="1"/>
                <w:color w:val="auto"/>
              </w:rPr>
            </w:pPr>
          </w:p>
        </w:tc>
      </w:tr>
      <w:tr>
        <w:trPr>
          <w:trHeight w:val="22"/>
        </w:trPr>
        <w:tc>
          <w:tcPr>
            <w:tcW w:w="6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spacing w:after="0" w:line="157" w:lineRule="exact"/>
              <w:rPr>
                <w:sz w:val="20"/>
                <w:szCs w:val="20"/>
                <w:color w:val="auto"/>
              </w:rPr>
            </w:pPr>
            <w:r>
              <w:rPr>
                <w:rFonts w:ascii="Calibri" w:cs="Calibri" w:eastAsia="Calibri" w:hAnsi="Calibri"/>
                <w:sz w:val="13"/>
                <w:szCs w:val="13"/>
                <w:b w:val="1"/>
                <w:bCs w:val="1"/>
                <w:color w:val="auto"/>
              </w:rPr>
              <w:t>Net Loss</w:t>
            </w:r>
          </w:p>
        </w:tc>
        <w:tc>
          <w:tcPr>
            <w:tcW w:w="200" w:type="dxa"/>
            <w:vAlign w:val="bottom"/>
            <w:gridSpan w:val="2"/>
            <w:shd w:val="clear" w:color="auto" w:fill="CCEEFF"/>
          </w:tcPr>
          <w:p>
            <w:pPr>
              <w:jc w:val="right"/>
              <w:ind w:right="40"/>
              <w:spacing w:after="0" w:line="157" w:lineRule="exact"/>
              <w:rPr>
                <w:sz w:val="20"/>
                <w:szCs w:val="20"/>
                <w:color w:val="auto"/>
              </w:rPr>
            </w:pPr>
            <w:r>
              <w:rPr>
                <w:rFonts w:ascii="Calibri" w:cs="Calibri" w:eastAsia="Calibri" w:hAnsi="Calibri"/>
                <w:sz w:val="13"/>
                <w:szCs w:val="13"/>
                <w:color w:val="auto"/>
              </w:rPr>
              <w:t>$</w:t>
            </w:r>
          </w:p>
        </w:tc>
        <w:tc>
          <w:tcPr>
            <w:tcW w:w="146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(3,894)</w:t>
            </w:r>
          </w:p>
        </w:tc>
        <w:tc>
          <w:tcPr>
            <w:tcW w:w="18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w:t>
            </w:r>
          </w:p>
        </w:tc>
        <w:tc>
          <w:tcPr>
            <w:tcW w:w="146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(13,209)</w:t>
            </w:r>
          </w:p>
        </w:tc>
        <w:tc>
          <w:tcPr>
            <w:tcW w:w="400" w:type="dxa"/>
            <w:vAlign w:val="bottom"/>
            <w:shd w:val="clear" w:color="auto" w:fill="CCEEFF"/>
          </w:tcPr>
          <w:p>
            <w:pPr>
              <w:jc w:val="right"/>
              <w:ind w:right="214"/>
              <w:spacing w:after="0" w:line="157" w:lineRule="exact"/>
              <w:rPr>
                <w:sz w:val="20"/>
                <w:szCs w:val="20"/>
                <w:color w:val="auto"/>
              </w:rPr>
            </w:pPr>
            <w:r>
              <w:rPr>
                <w:rFonts w:ascii="Calibri" w:cs="Calibri" w:eastAsia="Calibri" w:hAnsi="Calibri"/>
                <w:sz w:val="13"/>
                <w:szCs w:val="13"/>
                <w:color w:val="auto"/>
              </w:rPr>
              <w:t>$</w:t>
            </w:r>
          </w:p>
        </w:tc>
        <w:tc>
          <w:tcPr>
            <w:tcW w:w="1200" w:type="dxa"/>
            <w:vAlign w:val="bottom"/>
            <w:shd w:val="clear" w:color="auto" w:fill="CCEEFF"/>
          </w:tcPr>
          <w:p>
            <w:pPr>
              <w:jc w:val="right"/>
              <w:ind w:right="54"/>
              <w:spacing w:after="0" w:line="157" w:lineRule="exact"/>
              <w:rPr>
                <w:sz w:val="20"/>
                <w:szCs w:val="20"/>
                <w:color w:val="auto"/>
              </w:rPr>
            </w:pPr>
            <w:r>
              <w:rPr>
                <w:rFonts w:ascii="Calibri" w:cs="Calibri" w:eastAsia="Calibri" w:hAnsi="Calibri"/>
                <w:sz w:val="13"/>
                <w:szCs w:val="13"/>
                <w:color w:val="auto"/>
              </w:rPr>
              <w:t>(105,968)</w:t>
            </w:r>
          </w:p>
        </w:tc>
        <w:tc>
          <w:tcPr>
            <w:tcW w:w="0" w:type="dxa"/>
            <w:vAlign w:val="bottom"/>
          </w:tcPr>
          <w:p>
            <w:pPr>
              <w:spacing w:after="0"/>
              <w:rPr>
                <w:sz w:val="1"/>
                <w:szCs w:val="1"/>
                <w:color w:val="auto"/>
              </w:rPr>
            </w:pPr>
          </w:p>
        </w:tc>
      </w:tr>
      <w:tr>
        <w:trPr>
          <w:trHeight w:val="164"/>
        </w:trPr>
        <w:tc>
          <w:tcPr>
            <w:tcW w:w="6400" w:type="dxa"/>
            <w:vAlign w:val="bottom"/>
          </w:tcPr>
          <w:p>
            <w:pPr>
              <w:spacing w:after="0" w:line="157" w:lineRule="exact"/>
              <w:rPr>
                <w:sz w:val="20"/>
                <w:szCs w:val="20"/>
                <w:color w:val="auto"/>
              </w:rPr>
            </w:pPr>
            <w:r>
              <w:rPr>
                <w:rFonts w:ascii="Calibri" w:cs="Calibri" w:eastAsia="Calibri" w:hAnsi="Calibri"/>
                <w:sz w:val="13"/>
                <w:szCs w:val="13"/>
                <w:color w:val="auto"/>
              </w:rPr>
              <w:t>Adjusted For: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40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Depreciaton and amortzaton</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4"/>
              <w:spacing w:after="0"/>
              <w:rPr>
                <w:sz w:val="20"/>
                <w:szCs w:val="20"/>
                <w:color w:val="auto"/>
              </w:rPr>
            </w:pPr>
            <w:r>
              <w:rPr>
                <w:rFonts w:ascii="Calibri" w:cs="Calibri" w:eastAsia="Calibri" w:hAnsi="Calibri"/>
                <w:sz w:val="13"/>
                <w:szCs w:val="13"/>
                <w:color w:val="auto"/>
              </w:rPr>
              <w:t>14,884</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34"/>
              <w:spacing w:after="0"/>
              <w:rPr>
                <w:sz w:val="20"/>
                <w:szCs w:val="20"/>
                <w:color w:val="auto"/>
              </w:rPr>
            </w:pPr>
            <w:r>
              <w:rPr>
                <w:rFonts w:ascii="Calibri" w:cs="Calibri" w:eastAsia="Calibri" w:hAnsi="Calibri"/>
                <w:sz w:val="13"/>
                <w:szCs w:val="13"/>
                <w:color w:val="auto"/>
              </w:rPr>
              <w:t>15,627</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60,498</w:t>
            </w:r>
          </w:p>
        </w:tc>
        <w:tc>
          <w:tcPr>
            <w:tcW w:w="0" w:type="dxa"/>
            <w:vAlign w:val="bottom"/>
          </w:tcPr>
          <w:p>
            <w:pPr>
              <w:spacing w:after="0"/>
              <w:rPr>
                <w:sz w:val="1"/>
                <w:szCs w:val="1"/>
                <w:color w:val="auto"/>
              </w:rPr>
            </w:pPr>
          </w:p>
        </w:tc>
      </w:tr>
      <w:tr>
        <w:trPr>
          <w:trHeight w:val="164"/>
        </w:trPr>
        <w:tc>
          <w:tcPr>
            <w:tcW w:w="6400" w:type="dxa"/>
            <w:vAlign w:val="bottom"/>
          </w:tcPr>
          <w:p>
            <w:pPr>
              <w:ind w:left="60"/>
              <w:spacing w:after="0" w:line="157" w:lineRule="exact"/>
              <w:rPr>
                <w:sz w:val="20"/>
                <w:szCs w:val="20"/>
                <w:color w:val="auto"/>
              </w:rPr>
            </w:pPr>
            <w:r>
              <w:rPr>
                <w:rFonts w:ascii="Calibri" w:cs="Calibri" w:eastAsia="Calibri" w:hAnsi="Calibri"/>
                <w:sz w:val="13"/>
                <w:szCs w:val="13"/>
                <w:color w:val="auto"/>
              </w:rPr>
              <w:t>Interest expense, 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114"/>
              <w:spacing w:after="0" w:line="157" w:lineRule="exact"/>
              <w:rPr>
                <w:sz w:val="20"/>
                <w:szCs w:val="20"/>
                <w:color w:val="auto"/>
              </w:rPr>
            </w:pPr>
            <w:r>
              <w:rPr>
                <w:rFonts w:ascii="Calibri" w:cs="Calibri" w:eastAsia="Calibri" w:hAnsi="Calibri"/>
                <w:sz w:val="13"/>
                <w:szCs w:val="13"/>
                <w:color w:val="auto"/>
              </w:rPr>
              <w:t>4,293</w:t>
            </w:r>
          </w:p>
        </w:tc>
        <w:tc>
          <w:tcPr>
            <w:tcW w:w="180" w:type="dxa"/>
            <w:vAlign w:val="bottom"/>
          </w:tcPr>
          <w:p>
            <w:pPr>
              <w:spacing w:after="0"/>
              <w:rPr>
                <w:sz w:val="14"/>
                <w:szCs w:val="14"/>
                <w:color w:val="auto"/>
              </w:rPr>
            </w:pPr>
          </w:p>
        </w:tc>
        <w:tc>
          <w:tcPr>
            <w:tcW w:w="1460" w:type="dxa"/>
            <w:vAlign w:val="bottom"/>
          </w:tcPr>
          <w:p>
            <w:pPr>
              <w:jc w:val="right"/>
              <w:ind w:right="134"/>
              <w:spacing w:after="0" w:line="157" w:lineRule="exact"/>
              <w:rPr>
                <w:sz w:val="20"/>
                <w:szCs w:val="20"/>
                <w:color w:val="auto"/>
              </w:rPr>
            </w:pPr>
            <w:r>
              <w:rPr>
                <w:rFonts w:ascii="Calibri" w:cs="Calibri" w:eastAsia="Calibri" w:hAnsi="Calibri"/>
                <w:sz w:val="13"/>
                <w:szCs w:val="13"/>
                <w:color w:val="auto"/>
              </w:rPr>
              <w:t>4,479</w:t>
            </w:r>
          </w:p>
        </w:tc>
        <w:tc>
          <w:tcPr>
            <w:tcW w:w="400" w:type="dxa"/>
            <w:vAlign w:val="bottom"/>
          </w:tcPr>
          <w:p>
            <w:pPr>
              <w:spacing w:after="0"/>
              <w:rPr>
                <w:sz w:val="14"/>
                <w:szCs w:val="14"/>
                <w:color w:val="auto"/>
              </w:rPr>
            </w:pP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18,888</w:t>
            </w:r>
          </w:p>
        </w:tc>
        <w:tc>
          <w:tcPr>
            <w:tcW w:w="0" w:type="dxa"/>
            <w:vAlign w:val="bottom"/>
          </w:tcPr>
          <w:p>
            <w:pPr>
              <w:spacing w:after="0"/>
              <w:rPr>
                <w:sz w:val="1"/>
                <w:szCs w:val="1"/>
                <w:color w:val="auto"/>
              </w:rPr>
            </w:pPr>
          </w:p>
        </w:tc>
      </w:tr>
      <w:tr>
        <w:trPr>
          <w:trHeight w:val="178"/>
        </w:trPr>
        <w:tc>
          <w:tcPr>
            <w:tcW w:w="640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Income tax beneft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(685)</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(2,449)</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54"/>
              <w:spacing w:after="0"/>
              <w:rPr>
                <w:sz w:val="20"/>
                <w:szCs w:val="20"/>
                <w:color w:val="auto"/>
              </w:rPr>
            </w:pPr>
            <w:r>
              <w:rPr>
                <w:rFonts w:ascii="Calibri" w:cs="Calibri" w:eastAsia="Calibri" w:hAnsi="Calibri"/>
                <w:sz w:val="13"/>
                <w:szCs w:val="13"/>
                <w:color w:val="auto"/>
              </w:rPr>
              <w:t>(6,975)</w:t>
            </w:r>
          </w:p>
        </w:tc>
        <w:tc>
          <w:tcPr>
            <w:tcW w:w="0" w:type="dxa"/>
            <w:vAlign w:val="bottom"/>
          </w:tcPr>
          <w:p>
            <w:pPr>
              <w:spacing w:after="0"/>
              <w:rPr>
                <w:sz w:val="1"/>
                <w:szCs w:val="1"/>
                <w:color w:val="auto"/>
              </w:rPr>
            </w:pPr>
          </w:p>
        </w:tc>
      </w:tr>
      <w:tr>
        <w:trPr>
          <w:trHeight w:val="164"/>
        </w:trPr>
        <w:tc>
          <w:tcPr>
            <w:tcW w:w="6400" w:type="dxa"/>
            <w:vAlign w:val="bottom"/>
          </w:tcPr>
          <w:p>
            <w:pPr>
              <w:ind w:left="60"/>
              <w:spacing w:after="0" w:line="157" w:lineRule="exact"/>
              <w:rPr>
                <w:sz w:val="20"/>
                <w:szCs w:val="20"/>
                <w:color w:val="auto"/>
              </w:rPr>
            </w:pPr>
            <w:r>
              <w:rPr>
                <w:rFonts w:ascii="Calibri" w:cs="Calibri" w:eastAsia="Calibri" w:hAnsi="Calibri"/>
                <w:sz w:val="13"/>
                <w:szCs w:val="13"/>
                <w:color w:val="auto"/>
              </w:rPr>
              <w:t>Stock-based compensaton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114"/>
              <w:spacing w:after="0" w:line="157" w:lineRule="exact"/>
              <w:rPr>
                <w:sz w:val="20"/>
                <w:szCs w:val="20"/>
                <w:color w:val="auto"/>
              </w:rPr>
            </w:pPr>
            <w:r>
              <w:rPr>
                <w:rFonts w:ascii="Calibri" w:cs="Calibri" w:eastAsia="Calibri" w:hAnsi="Calibri"/>
                <w:sz w:val="13"/>
                <w:szCs w:val="13"/>
                <w:color w:val="auto"/>
              </w:rPr>
              <w:t>1,059</w:t>
            </w:r>
          </w:p>
        </w:tc>
        <w:tc>
          <w:tcPr>
            <w:tcW w:w="180" w:type="dxa"/>
            <w:vAlign w:val="bottom"/>
          </w:tcPr>
          <w:p>
            <w:pPr>
              <w:spacing w:after="0"/>
              <w:rPr>
                <w:sz w:val="14"/>
                <w:szCs w:val="14"/>
                <w:color w:val="auto"/>
              </w:rPr>
            </w:pPr>
          </w:p>
        </w:tc>
        <w:tc>
          <w:tcPr>
            <w:tcW w:w="1460" w:type="dxa"/>
            <w:vAlign w:val="bottom"/>
          </w:tcPr>
          <w:p>
            <w:pPr>
              <w:jc w:val="right"/>
              <w:ind w:right="134"/>
              <w:spacing w:after="0" w:line="157" w:lineRule="exact"/>
              <w:rPr>
                <w:sz w:val="20"/>
                <w:szCs w:val="20"/>
                <w:color w:val="auto"/>
              </w:rPr>
            </w:pPr>
            <w:r>
              <w:rPr>
                <w:rFonts w:ascii="Calibri" w:cs="Calibri" w:eastAsia="Calibri" w:hAnsi="Calibri"/>
                <w:sz w:val="13"/>
                <w:szCs w:val="13"/>
                <w:color w:val="auto"/>
              </w:rPr>
              <w:t>4,194</w:t>
            </w:r>
          </w:p>
        </w:tc>
        <w:tc>
          <w:tcPr>
            <w:tcW w:w="400" w:type="dxa"/>
            <w:vAlign w:val="bottom"/>
          </w:tcPr>
          <w:p>
            <w:pPr>
              <w:spacing w:after="0"/>
              <w:rPr>
                <w:sz w:val="14"/>
                <w:szCs w:val="14"/>
                <w:color w:val="auto"/>
              </w:rPr>
            </w:pP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9,235</w:t>
            </w:r>
          </w:p>
        </w:tc>
        <w:tc>
          <w:tcPr>
            <w:tcW w:w="0" w:type="dxa"/>
            <w:vAlign w:val="bottom"/>
          </w:tcPr>
          <w:p>
            <w:pPr>
              <w:spacing w:after="0"/>
              <w:rPr>
                <w:sz w:val="1"/>
                <w:szCs w:val="1"/>
                <w:color w:val="auto"/>
              </w:rPr>
            </w:pPr>
          </w:p>
        </w:tc>
      </w:tr>
      <w:tr>
        <w:trPr>
          <w:trHeight w:val="178"/>
        </w:trPr>
        <w:tc>
          <w:tcPr>
            <w:tcW w:w="6400" w:type="dxa"/>
            <w:vAlign w:val="bottom"/>
            <w:shd w:val="clear" w:color="auto" w:fill="CCEEFF"/>
          </w:tcPr>
          <w:p>
            <w:pPr>
              <w:ind w:left="60"/>
              <w:spacing w:after="0" w:line="178" w:lineRule="exact"/>
              <w:rPr>
                <w:sz w:val="20"/>
                <w:szCs w:val="20"/>
                <w:color w:val="auto"/>
              </w:rPr>
            </w:pPr>
            <w:r>
              <w:rPr>
                <w:rFonts w:ascii="Calibri" w:cs="Calibri" w:eastAsia="Calibri" w:hAnsi="Calibri"/>
                <w:sz w:val="13"/>
                <w:szCs w:val="13"/>
                <w:color w:val="auto"/>
              </w:rPr>
              <w:t>Restatement related costs</w:t>
            </w:r>
            <w:r>
              <w:rPr>
                <w:rFonts w:ascii="Calibri" w:cs="Calibri" w:eastAsia="Calibri" w:hAnsi="Calibri"/>
                <w:sz w:val="17"/>
                <w:szCs w:val="17"/>
                <w:color w:val="auto"/>
                <w:vertAlign w:val="superscript"/>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14"/>
              <w:spacing w:after="0"/>
              <w:rPr>
                <w:sz w:val="20"/>
                <w:szCs w:val="20"/>
                <w:color w:val="auto"/>
              </w:rPr>
            </w:pPr>
            <w:r>
              <w:rPr>
                <w:rFonts w:ascii="Calibri" w:cs="Calibri" w:eastAsia="Calibri" w:hAnsi="Calibri"/>
                <w:sz w:val="13"/>
                <w:szCs w:val="13"/>
                <w:color w:val="auto"/>
              </w:rPr>
              <w:t>7,924</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34"/>
              <w:spacing w:after="0"/>
              <w:rPr>
                <w:sz w:val="20"/>
                <w:szCs w:val="20"/>
                <w:color w:val="auto"/>
              </w:rPr>
            </w:pPr>
            <w:r>
              <w:rPr>
                <w:rFonts w:ascii="Calibri" w:cs="Calibri" w:eastAsia="Calibri" w:hAnsi="Calibri"/>
                <w:sz w:val="13"/>
                <w:szCs w:val="13"/>
                <w:color w:val="auto"/>
              </w:rPr>
              <w:t>2,935</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32,782</w:t>
            </w:r>
          </w:p>
        </w:tc>
        <w:tc>
          <w:tcPr>
            <w:tcW w:w="0" w:type="dxa"/>
            <w:vAlign w:val="bottom"/>
          </w:tcPr>
          <w:p>
            <w:pPr>
              <w:spacing w:after="0"/>
              <w:rPr>
                <w:sz w:val="1"/>
                <w:szCs w:val="1"/>
                <w:color w:val="auto"/>
              </w:rPr>
            </w:pPr>
          </w:p>
        </w:tc>
      </w:tr>
      <w:tr>
        <w:trPr>
          <w:trHeight w:val="171"/>
        </w:trPr>
        <w:tc>
          <w:tcPr>
            <w:tcW w:w="6400" w:type="dxa"/>
            <w:vAlign w:val="bottom"/>
          </w:tcPr>
          <w:p>
            <w:pPr>
              <w:ind w:left="60"/>
              <w:spacing w:after="0" w:line="171" w:lineRule="exact"/>
              <w:rPr>
                <w:sz w:val="20"/>
                <w:szCs w:val="20"/>
                <w:color w:val="auto"/>
              </w:rPr>
            </w:pPr>
            <w:r>
              <w:rPr>
                <w:rFonts w:ascii="Calibri" w:cs="Calibri" w:eastAsia="Calibri" w:hAnsi="Calibri"/>
                <w:sz w:val="13"/>
                <w:szCs w:val="13"/>
                <w:color w:val="auto"/>
              </w:rPr>
              <w:t>Change in fair value of warrants and interest rate collar</w:t>
            </w:r>
            <w:r>
              <w:rPr>
                <w:rFonts w:ascii="Calibri" w:cs="Calibri" w:eastAsia="Calibri" w:hAnsi="Calibri"/>
                <w:sz w:val="17"/>
                <w:szCs w:val="17"/>
                <w:color w:val="auto"/>
                <w:vertAlign w:val="superscript"/>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(12,160)</w:t>
            </w:r>
          </w:p>
        </w:tc>
        <w:tc>
          <w:tcPr>
            <w:tcW w:w="180" w:type="dxa"/>
            <w:vAlign w:val="bottom"/>
          </w:tcPr>
          <w:p>
            <w:pPr>
              <w:spacing w:after="0"/>
              <w:rPr>
                <w:sz w:val="14"/>
                <w:szCs w:val="14"/>
                <w:color w:val="auto"/>
              </w:rPr>
            </w:pPr>
          </w:p>
        </w:tc>
        <w:tc>
          <w:tcPr>
            <w:tcW w:w="146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(330)</w:t>
            </w:r>
          </w:p>
        </w:tc>
        <w:tc>
          <w:tcPr>
            <w:tcW w:w="400" w:type="dxa"/>
            <w:vAlign w:val="bottom"/>
          </w:tcPr>
          <w:p>
            <w:pPr>
              <w:spacing w:after="0"/>
              <w:rPr>
                <w:sz w:val="14"/>
                <w:szCs w:val="14"/>
                <w:color w:val="auto"/>
              </w:rPr>
            </w:pP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10,443</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60"/>
              <w:spacing w:after="0" w:line="171" w:lineRule="exact"/>
              <w:rPr>
                <w:sz w:val="20"/>
                <w:szCs w:val="20"/>
                <w:color w:val="auto"/>
              </w:rPr>
            </w:pPr>
            <w:r>
              <w:rPr>
                <w:rFonts w:ascii="Calibri" w:cs="Calibri" w:eastAsia="Calibri" w:hAnsi="Calibri"/>
                <w:sz w:val="13"/>
                <w:szCs w:val="13"/>
                <w:color w:val="auto"/>
              </w:rPr>
              <w:t>Amortzaton of related party liability</w:t>
            </w:r>
            <w:r>
              <w:rPr>
                <w:rFonts w:ascii="Calibri" w:cs="Calibri" w:eastAsia="Calibri" w:hAnsi="Calibri"/>
                <w:sz w:val="17"/>
                <w:szCs w:val="17"/>
                <w:color w:val="auto"/>
                <w:vertAlign w:val="superscript"/>
              </w:rPr>
              <w:t>(3)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(316)</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(2,371)</w:t>
            </w: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54"/>
              <w:spacing w:after="0" w:line="157" w:lineRule="exact"/>
              <w:rPr>
                <w:sz w:val="20"/>
                <w:szCs w:val="20"/>
                <w:color w:val="auto"/>
              </w:rPr>
            </w:pPr>
            <w:r>
              <w:rPr>
                <w:rFonts w:ascii="Calibri" w:cs="Calibri" w:eastAsia="Calibri" w:hAnsi="Calibri"/>
                <w:sz w:val="13"/>
                <w:szCs w:val="13"/>
                <w:color w:val="auto"/>
              </w:rPr>
              <w:t>(4,058)</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tcPr>
          <w:p>
            <w:pPr>
              <w:ind w:left="60"/>
              <w:spacing w:after="0" w:line="171" w:lineRule="exact"/>
              <w:rPr>
                <w:sz w:val="20"/>
                <w:szCs w:val="20"/>
                <w:color w:val="auto"/>
              </w:rPr>
            </w:pPr>
            <w:r>
              <w:rPr>
                <w:rFonts w:ascii="Calibri" w:cs="Calibri" w:eastAsia="Calibri" w:hAnsi="Calibri"/>
                <w:sz w:val="13"/>
                <w:szCs w:val="13"/>
                <w:color w:val="auto"/>
              </w:rPr>
              <w:t>Other non-recurring costs</w:t>
            </w:r>
            <w:r>
              <w:rPr>
                <w:rFonts w:ascii="Calibri" w:cs="Calibri" w:eastAsia="Calibri" w:hAnsi="Calibri"/>
                <w:sz w:val="17"/>
                <w:szCs w:val="17"/>
                <w:color w:val="auto"/>
                <w:vertAlign w:val="superscript"/>
              </w:rPr>
              <w:t>(4)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14"/>
              <w:spacing w:after="0" w:line="157" w:lineRule="exact"/>
              <w:rPr>
                <w:sz w:val="20"/>
                <w:szCs w:val="20"/>
                <w:color w:val="auto"/>
              </w:rPr>
            </w:pPr>
            <w:r>
              <w:rPr>
                <w:rFonts w:ascii="Calibri" w:cs="Calibri" w:eastAsia="Calibri" w:hAnsi="Calibri"/>
                <w:sz w:val="13"/>
                <w:szCs w:val="13"/>
                <w:color w:val="auto"/>
              </w:rPr>
              <w:t>246</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34"/>
              <w:spacing w:after="0" w:line="157" w:lineRule="exact"/>
              <w:rPr>
                <w:sz w:val="20"/>
                <w:szCs w:val="20"/>
                <w:color w:val="auto"/>
              </w:rPr>
            </w:pPr>
            <w:r>
              <w:rPr>
                <w:rFonts w:ascii="Calibri" w:cs="Calibri" w:eastAsia="Calibri" w:hAnsi="Calibri"/>
                <w:sz w:val="13"/>
                <w:szCs w:val="13"/>
                <w:color w:val="auto"/>
              </w:rPr>
              <w:t>1,238</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94"/>
              <w:spacing w:after="0" w:line="157" w:lineRule="exact"/>
              <w:rPr>
                <w:sz w:val="20"/>
                <w:szCs w:val="20"/>
                <w:color w:val="auto"/>
              </w:rPr>
            </w:pPr>
            <w:r>
              <w:rPr>
                <w:rFonts w:ascii="Calibri" w:cs="Calibri" w:eastAsia="Calibri" w:hAnsi="Calibri"/>
                <w:sz w:val="13"/>
                <w:szCs w:val="13"/>
                <w:color w:val="auto"/>
              </w:rPr>
              <w:t>9,550</w:t>
            </w:r>
          </w:p>
        </w:tc>
        <w:tc>
          <w:tcPr>
            <w:tcW w:w="0" w:type="dxa"/>
            <w:vAlign w:val="bottom"/>
          </w:tcPr>
          <w:p>
            <w:pPr>
              <w:spacing w:after="0"/>
              <w:rPr>
                <w:sz w:val="1"/>
                <w:szCs w:val="1"/>
                <w:color w:val="auto"/>
              </w:rPr>
            </w:pPr>
          </w:p>
        </w:tc>
      </w:tr>
      <w:tr>
        <w:trPr>
          <w:trHeight w:val="160"/>
        </w:trPr>
        <w:tc>
          <w:tcPr>
            <w:tcW w:w="6400" w:type="dxa"/>
            <w:vAlign w:val="bottom"/>
            <w:shd w:val="clear" w:color="auto" w:fill="CCEEFF"/>
          </w:tcPr>
          <w:p>
            <w:pPr>
              <w:spacing w:after="0" w:line="137" w:lineRule="exact"/>
              <w:rPr>
                <w:sz w:val="20"/>
                <w:szCs w:val="20"/>
                <w:color w:val="auto"/>
              </w:rPr>
            </w:pPr>
            <w:r>
              <w:rPr>
                <w:rFonts w:ascii="Calibri" w:cs="Calibri" w:eastAsia="Calibri" w:hAnsi="Calibri"/>
                <w:sz w:val="13"/>
                <w:szCs w:val="13"/>
                <w:b w:val="1"/>
                <w:bCs w:val="1"/>
                <w:color w:val="auto"/>
              </w:rPr>
              <w:t>Adjusted EBITDA</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14"/>
              <w:spacing w:after="0" w:line="157" w:lineRule="exact"/>
              <w:rPr>
                <w:sz w:val="20"/>
                <w:szCs w:val="20"/>
                <w:color w:val="auto"/>
              </w:rPr>
            </w:pPr>
            <w:r>
              <w:rPr>
                <w:rFonts w:ascii="Calibri" w:cs="Calibri" w:eastAsia="Calibri" w:hAnsi="Calibri"/>
                <w:sz w:val="13"/>
                <w:szCs w:val="13"/>
                <w:b w:val="1"/>
                <w:bCs w:val="1"/>
                <w:color w:val="auto"/>
              </w:rPr>
              <w:t>11,351</w:t>
            </w: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34"/>
              <w:spacing w:after="0" w:line="157" w:lineRule="exact"/>
              <w:rPr>
                <w:sz w:val="20"/>
                <w:szCs w:val="20"/>
                <w:color w:val="auto"/>
              </w:rPr>
            </w:pPr>
            <w:r>
              <w:rPr>
                <w:rFonts w:ascii="Calibri" w:cs="Calibri" w:eastAsia="Calibri" w:hAnsi="Calibri"/>
                <w:sz w:val="13"/>
                <w:szCs w:val="13"/>
                <w:b w:val="1"/>
                <w:bCs w:val="1"/>
                <w:color w:val="auto"/>
              </w:rPr>
              <w:t>10,114</w:t>
            </w: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b w:val="1"/>
                <w:bCs w:val="1"/>
                <w:color w:val="auto"/>
              </w:rPr>
              <w:t>24,395</w:t>
            </w:r>
          </w:p>
        </w:tc>
        <w:tc>
          <w:tcPr>
            <w:tcW w:w="0" w:type="dxa"/>
            <w:vAlign w:val="bottom"/>
          </w:tcPr>
          <w:p>
            <w:pPr>
              <w:spacing w:after="0"/>
              <w:rPr>
                <w:sz w:val="1"/>
                <w:szCs w:val="1"/>
                <w:color w:val="auto"/>
              </w:rPr>
            </w:pPr>
          </w:p>
        </w:tc>
      </w:tr>
      <w:tr>
        <w:trPr>
          <w:trHeight w:val="164"/>
        </w:trPr>
        <w:tc>
          <w:tcPr>
            <w:tcW w:w="6400" w:type="dxa"/>
            <w:vAlign w:val="bottom"/>
          </w:tcPr>
          <w:p>
            <w:pPr>
              <w:spacing w:after="0" w:line="157" w:lineRule="exact"/>
              <w:rPr>
                <w:sz w:val="20"/>
                <w:szCs w:val="20"/>
                <w:color w:val="auto"/>
              </w:rPr>
            </w:pPr>
            <w:r>
              <w:rPr>
                <w:rFonts w:ascii="Calibri" w:cs="Calibri" w:eastAsia="Calibri" w:hAnsi="Calibri"/>
                <w:sz w:val="13"/>
                <w:szCs w:val="13"/>
                <w:b w:val="1"/>
                <w:bCs w:val="1"/>
                <w:color w:val="auto"/>
              </w:rPr>
              <w:t>Net Revenue</w:t>
            </w:r>
          </w:p>
        </w:tc>
        <w:tc>
          <w:tcPr>
            <w:tcW w:w="200" w:type="dxa"/>
            <w:vAlign w:val="bottom"/>
            <w:gridSpan w:val="2"/>
          </w:tcPr>
          <w:p>
            <w:pPr>
              <w:jc w:val="right"/>
              <w:ind w:right="40"/>
              <w:spacing w:after="0" w:line="157" w:lineRule="exact"/>
              <w:rPr>
                <w:sz w:val="20"/>
                <w:szCs w:val="20"/>
                <w:color w:val="auto"/>
              </w:rPr>
            </w:pPr>
            <w:r>
              <w:rPr>
                <w:rFonts w:ascii="Calibri" w:cs="Calibri" w:eastAsia="Calibri" w:hAnsi="Calibri"/>
                <w:sz w:val="13"/>
                <w:szCs w:val="13"/>
                <w:color w:val="auto"/>
              </w:rPr>
              <w:t>$</w:t>
            </w:r>
          </w:p>
        </w:tc>
        <w:tc>
          <w:tcPr>
            <w:tcW w:w="1460" w:type="dxa"/>
            <w:vAlign w:val="bottom"/>
          </w:tcPr>
          <w:p>
            <w:pPr>
              <w:jc w:val="right"/>
              <w:ind w:right="114"/>
              <w:spacing w:after="0" w:line="157" w:lineRule="exact"/>
              <w:rPr>
                <w:sz w:val="20"/>
                <w:szCs w:val="20"/>
                <w:color w:val="auto"/>
              </w:rPr>
            </w:pPr>
            <w:r>
              <w:rPr>
                <w:rFonts w:ascii="Calibri" w:cs="Calibri" w:eastAsia="Calibri" w:hAnsi="Calibri"/>
                <w:sz w:val="13"/>
                <w:szCs w:val="13"/>
                <w:color w:val="auto"/>
              </w:rPr>
              <w:t>68,272</w:t>
            </w:r>
          </w:p>
        </w:tc>
        <w:tc>
          <w:tcPr>
            <w:tcW w:w="180" w:type="dxa"/>
            <w:vAlign w:val="bottom"/>
          </w:tcPr>
          <w:p>
            <w:pPr>
              <w:jc w:val="right"/>
              <w:spacing w:after="0" w:line="157" w:lineRule="exact"/>
              <w:rPr>
                <w:sz w:val="20"/>
                <w:szCs w:val="20"/>
                <w:color w:val="auto"/>
              </w:rPr>
            </w:pPr>
            <w:r>
              <w:rPr>
                <w:rFonts w:ascii="Calibri" w:cs="Calibri" w:eastAsia="Calibri" w:hAnsi="Calibri"/>
                <w:sz w:val="13"/>
                <w:szCs w:val="13"/>
                <w:color w:val="auto"/>
              </w:rPr>
              <w:t>$</w:t>
            </w:r>
          </w:p>
        </w:tc>
        <w:tc>
          <w:tcPr>
            <w:tcW w:w="1460" w:type="dxa"/>
            <w:vAlign w:val="bottom"/>
          </w:tcPr>
          <w:p>
            <w:pPr>
              <w:jc w:val="right"/>
              <w:ind w:right="134"/>
              <w:spacing w:after="0" w:line="157" w:lineRule="exact"/>
              <w:rPr>
                <w:sz w:val="20"/>
                <w:szCs w:val="20"/>
                <w:color w:val="auto"/>
              </w:rPr>
            </w:pPr>
            <w:r>
              <w:rPr>
                <w:rFonts w:ascii="Calibri" w:cs="Calibri" w:eastAsia="Calibri" w:hAnsi="Calibri"/>
                <w:sz w:val="13"/>
                <w:szCs w:val="13"/>
                <w:color w:val="auto"/>
              </w:rPr>
              <w:t>59,953</w:t>
            </w:r>
          </w:p>
        </w:tc>
        <w:tc>
          <w:tcPr>
            <w:tcW w:w="400" w:type="dxa"/>
            <w:vAlign w:val="bottom"/>
          </w:tcPr>
          <w:p>
            <w:pPr>
              <w:jc w:val="right"/>
              <w:ind w:right="214"/>
              <w:spacing w:after="0" w:line="157" w:lineRule="exact"/>
              <w:rPr>
                <w:sz w:val="20"/>
                <w:szCs w:val="20"/>
                <w:color w:val="auto"/>
              </w:rPr>
            </w:pPr>
            <w:r>
              <w:rPr>
                <w:rFonts w:ascii="Calibri" w:cs="Calibri" w:eastAsia="Calibri" w:hAnsi="Calibri"/>
                <w:sz w:val="13"/>
                <w:szCs w:val="13"/>
                <w:color w:val="auto"/>
              </w:rPr>
              <w:t>$</w:t>
            </w: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218,138</w:t>
            </w:r>
          </w:p>
        </w:tc>
        <w:tc>
          <w:tcPr>
            <w:tcW w:w="0" w:type="dxa"/>
            <w:vAlign w:val="bottom"/>
          </w:tcPr>
          <w:p>
            <w:pPr>
              <w:spacing w:after="0"/>
              <w:rPr>
                <w:sz w:val="1"/>
                <w:szCs w:val="1"/>
                <w:color w:val="auto"/>
              </w:rPr>
            </w:pPr>
          </w:p>
        </w:tc>
      </w:tr>
      <w:tr>
        <w:trPr>
          <w:trHeight w:val="178"/>
        </w:trPr>
        <w:tc>
          <w:tcPr>
            <w:tcW w:w="6400" w:type="dxa"/>
            <w:vAlign w:val="bottom"/>
            <w:shd w:val="clear" w:color="auto" w:fill="CCEEFF"/>
          </w:tcPr>
          <w:p>
            <w:pPr>
              <w:spacing w:after="0"/>
              <w:rPr>
                <w:sz w:val="20"/>
                <w:szCs w:val="20"/>
                <w:color w:val="auto"/>
              </w:rPr>
            </w:pPr>
            <w:r>
              <w:rPr>
                <w:rFonts w:ascii="Calibri" w:cs="Calibri" w:eastAsia="Calibri" w:hAnsi="Calibri"/>
                <w:sz w:val="13"/>
                <w:szCs w:val="13"/>
                <w:b w:val="1"/>
                <w:bCs w:val="1"/>
                <w:color w:val="auto"/>
              </w:rPr>
              <w:t>Net Loss % of Net Revenue</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(5.7)%</w:t>
            </w: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(22.0)%</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(48.6)%</w:t>
            </w:r>
          </w:p>
        </w:tc>
        <w:tc>
          <w:tcPr>
            <w:tcW w:w="0" w:type="dxa"/>
            <w:vAlign w:val="bottom"/>
          </w:tcPr>
          <w:p>
            <w:pPr>
              <w:spacing w:after="0"/>
              <w:rPr>
                <w:sz w:val="1"/>
                <w:szCs w:val="1"/>
                <w:color w:val="auto"/>
              </w:rPr>
            </w:pPr>
          </w:p>
        </w:tc>
      </w:tr>
      <w:tr>
        <w:trPr>
          <w:trHeight w:val="157"/>
        </w:trPr>
        <w:tc>
          <w:tcPr>
            <w:tcW w:w="6400" w:type="dxa"/>
            <w:vAlign w:val="bottom"/>
          </w:tcPr>
          <w:p>
            <w:pPr>
              <w:spacing w:after="0" w:line="157" w:lineRule="exact"/>
              <w:rPr>
                <w:sz w:val="20"/>
                <w:szCs w:val="20"/>
                <w:color w:val="auto"/>
              </w:rPr>
            </w:pPr>
            <w:r>
              <w:rPr>
                <w:rFonts w:ascii="Calibri" w:cs="Calibri" w:eastAsia="Calibri" w:hAnsi="Calibri"/>
                <w:sz w:val="13"/>
                <w:szCs w:val="13"/>
                <w:b w:val="1"/>
                <w:bCs w:val="1"/>
                <w:color w:val="auto"/>
              </w:rPr>
              <w:t>Adjusted EBITDA Margin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spacing w:after="0" w:line="157" w:lineRule="exact"/>
              <w:rPr>
                <w:sz w:val="20"/>
                <w:szCs w:val="20"/>
                <w:color w:val="auto"/>
              </w:rPr>
            </w:pPr>
            <w:r>
              <w:rPr>
                <w:rFonts w:ascii="Calibri" w:cs="Calibri" w:eastAsia="Calibri" w:hAnsi="Calibri"/>
                <w:sz w:val="13"/>
                <w:szCs w:val="13"/>
                <w:color w:val="auto"/>
              </w:rPr>
              <w:t>16.6 %</w:t>
            </w:r>
          </w:p>
        </w:tc>
        <w:tc>
          <w:tcPr>
            <w:tcW w:w="180" w:type="dxa"/>
            <w:vAlign w:val="bottom"/>
          </w:tcPr>
          <w:p>
            <w:pPr>
              <w:spacing w:after="0"/>
              <w:rPr>
                <w:sz w:val="13"/>
                <w:szCs w:val="13"/>
                <w:color w:val="auto"/>
              </w:rPr>
            </w:pPr>
          </w:p>
        </w:tc>
        <w:tc>
          <w:tcPr>
            <w:tcW w:w="1460" w:type="dxa"/>
            <w:vAlign w:val="bottom"/>
          </w:tcPr>
          <w:p>
            <w:pPr>
              <w:jc w:val="right"/>
              <w:spacing w:after="0" w:line="157" w:lineRule="exact"/>
              <w:rPr>
                <w:sz w:val="20"/>
                <w:szCs w:val="20"/>
                <w:color w:val="auto"/>
              </w:rPr>
            </w:pPr>
            <w:r>
              <w:rPr>
                <w:rFonts w:ascii="Calibri" w:cs="Calibri" w:eastAsia="Calibri" w:hAnsi="Calibri"/>
                <w:sz w:val="13"/>
                <w:szCs w:val="13"/>
                <w:color w:val="auto"/>
              </w:rPr>
              <w:t>16.9 %</w:t>
            </w:r>
          </w:p>
        </w:tc>
        <w:tc>
          <w:tcPr>
            <w:tcW w:w="40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Calibri" w:cs="Calibri" w:eastAsia="Calibri" w:hAnsi="Calibri"/>
                <w:sz w:val="13"/>
                <w:szCs w:val="13"/>
                <w:color w:val="auto"/>
              </w:rPr>
              <w:t>11.2 %</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08" w:hanging="108"/>
        <w:spacing w:after="0"/>
        <w:tabs>
          <w:tab w:leader="none" w:pos="108" w:val="left"/>
        </w:tabs>
        <w:numPr>
          <w:ilvl w:val="0"/>
          <w:numId w:val="7"/>
        </w:numPr>
        <w:rPr>
          <w:rFonts w:ascii="Calibri" w:cs="Calibri" w:eastAsia="Calibri" w:hAnsi="Calibri"/>
          <w:sz w:val="14"/>
          <w:szCs w:val="14"/>
          <w:color w:val="auto"/>
          <w:vertAlign w:val="superscript"/>
        </w:rPr>
      </w:pPr>
      <w:r>
        <w:rPr>
          <w:rFonts w:ascii="Calibri" w:cs="Calibri" w:eastAsia="Calibri" w:hAnsi="Calibri"/>
          <w:sz w:val="11"/>
          <w:szCs w:val="11"/>
          <w:color w:val="auto"/>
        </w:rPr>
        <w:t>Includes mainly legal, advisory and consultant fees related to the fnancial restatement for FY 2022 and the SEC investgaton.</w:t>
      </w:r>
    </w:p>
    <w:p>
      <w:pPr>
        <w:spacing w:after="0" w:line="23" w:lineRule="exact"/>
        <w:rPr>
          <w:rFonts w:ascii="Calibri" w:cs="Calibri" w:eastAsia="Calibri" w:hAnsi="Calibri"/>
          <w:sz w:val="14"/>
          <w:szCs w:val="14"/>
          <w:color w:val="auto"/>
          <w:vertAlign w:val="superscript"/>
        </w:rPr>
      </w:pPr>
    </w:p>
    <w:p>
      <w:pPr>
        <w:ind w:left="108" w:hanging="108"/>
        <w:spacing w:after="0" w:line="181" w:lineRule="auto"/>
        <w:tabs>
          <w:tab w:leader="none" w:pos="108" w:val="left"/>
        </w:tabs>
        <w:numPr>
          <w:ilvl w:val="0"/>
          <w:numId w:val="7"/>
        </w:numPr>
        <w:rPr>
          <w:rFonts w:ascii="Calibri" w:cs="Calibri" w:eastAsia="Calibri" w:hAnsi="Calibri"/>
          <w:sz w:val="13"/>
          <w:szCs w:val="13"/>
          <w:color w:val="auto"/>
          <w:vertAlign w:val="superscript"/>
        </w:rPr>
      </w:pPr>
      <w:r>
        <w:rPr>
          <w:rFonts w:ascii="Calibri" w:cs="Calibri" w:eastAsia="Calibri" w:hAnsi="Calibri"/>
          <w:sz w:val="10"/>
          <w:szCs w:val="10"/>
          <w:color w:val="auto"/>
        </w:rPr>
        <w:t>Relates to change in fair value of warrant liabilites and the interest rate collar.</w:t>
      </w:r>
    </w:p>
    <w:p>
      <w:pPr>
        <w:spacing w:after="0" w:line="33" w:lineRule="exact"/>
        <w:rPr>
          <w:rFonts w:ascii="Calibri" w:cs="Calibri" w:eastAsia="Calibri" w:hAnsi="Calibri"/>
          <w:sz w:val="13"/>
          <w:szCs w:val="13"/>
          <w:color w:val="auto"/>
          <w:vertAlign w:val="superscript"/>
        </w:rPr>
      </w:pPr>
    </w:p>
    <w:p>
      <w:pPr>
        <w:ind w:left="108" w:hanging="108"/>
        <w:spacing w:after="0" w:line="181" w:lineRule="auto"/>
        <w:tabs>
          <w:tab w:leader="none" w:pos="108" w:val="left"/>
        </w:tabs>
        <w:numPr>
          <w:ilvl w:val="0"/>
          <w:numId w:val="7"/>
        </w:numPr>
        <w:rPr>
          <w:rFonts w:ascii="Calibri" w:cs="Calibri" w:eastAsia="Calibri" w:hAnsi="Calibri"/>
          <w:sz w:val="12"/>
          <w:szCs w:val="12"/>
          <w:color w:val="auto"/>
          <w:vertAlign w:val="superscript"/>
        </w:rPr>
      </w:pPr>
      <w:r>
        <w:rPr>
          <w:rFonts w:ascii="Calibri" w:cs="Calibri" w:eastAsia="Calibri" w:hAnsi="Calibri"/>
          <w:sz w:val="9"/>
          <w:szCs w:val="9"/>
          <w:color w:val="auto"/>
        </w:rPr>
        <w:t>Relates to the fair value of the related party liability for the unfavorable discount to the Obagi China Business as part of the Business Combinaton.</w:t>
      </w:r>
    </w:p>
    <w:p>
      <w:pPr>
        <w:spacing w:after="0" w:line="33" w:lineRule="exact"/>
        <w:rPr>
          <w:rFonts w:ascii="Calibri" w:cs="Calibri" w:eastAsia="Calibri" w:hAnsi="Calibri"/>
          <w:sz w:val="12"/>
          <w:szCs w:val="12"/>
          <w:color w:val="auto"/>
          <w:vertAlign w:val="superscript"/>
        </w:rPr>
      </w:pPr>
    </w:p>
    <w:p>
      <w:pPr>
        <w:ind w:left="108" w:hanging="108"/>
        <w:spacing w:after="0" w:line="245" w:lineRule="auto"/>
        <w:tabs>
          <w:tab w:leader="none" w:pos="93" w:val="left"/>
        </w:tabs>
        <w:numPr>
          <w:ilvl w:val="0"/>
          <w:numId w:val="7"/>
        </w:numPr>
        <w:rPr>
          <w:rFonts w:ascii="Arial" w:cs="Arial" w:eastAsia="Arial" w:hAnsi="Arial"/>
          <w:sz w:val="11"/>
          <w:szCs w:val="11"/>
          <w:color w:val="auto"/>
          <w:vertAlign w:val="superscript"/>
        </w:rPr>
      </w:pPr>
      <w:r>
        <w:rPr>
          <w:rFonts w:ascii="Calibri" w:cs="Calibri" w:eastAsia="Calibri" w:hAnsi="Calibri"/>
          <w:sz w:val="10"/>
          <w:szCs w:val="10"/>
          <w:color w:val="auto"/>
        </w:rPr>
        <w:t>Other non-recurring costs include the amortzaton of the fair value step-up as a result of the business combinaton, legal setlements, foreign currency transacton losses, the cost and gain of the recovery of inventory from the Vietnam distributor, product discontnuaton costs related to advanced purchases for the Vietnam distributor, and a one-tme contract terminaton cost and lease impairment.</w:t>
      </w:r>
    </w:p>
    <w:p>
      <w:pPr>
        <w:spacing w:after="0" w:line="234" w:lineRule="exact"/>
        <w:rPr>
          <w:sz w:val="20"/>
          <w:szCs w:val="20"/>
          <w:color w:val="auto"/>
        </w:rPr>
      </w:pPr>
    </w:p>
    <w:p>
      <w:pPr>
        <w:ind w:left="8"/>
        <w:spacing w:after="0" w:line="220" w:lineRule="auto"/>
        <w:rPr>
          <w:sz w:val="20"/>
          <w:szCs w:val="20"/>
          <w:color w:val="auto"/>
        </w:rPr>
      </w:pPr>
      <w:r>
        <w:rPr>
          <w:rFonts w:ascii="Calibri" w:cs="Calibri" w:eastAsia="Calibri" w:hAnsi="Calibri"/>
          <w:sz w:val="13"/>
          <w:szCs w:val="13"/>
          <w:b w:val="1"/>
          <w:bCs w:val="1"/>
          <w:color w:val="auto"/>
        </w:rPr>
        <w:t xml:space="preserve">Adjusted Gross Proft </w:t>
      </w:r>
      <w:r>
        <w:rPr>
          <w:rFonts w:ascii="Calibri" w:cs="Calibri" w:eastAsia="Calibri" w:hAnsi="Calibri"/>
          <w:sz w:val="13"/>
          <w:szCs w:val="13"/>
          <w:color w:val="auto"/>
        </w:rPr>
        <w:t>is defned as GAAP gross proft excluding the impact of inventory fair value adjustments, amortzaton of the supply agreement and formulaton intangible assets, and the amortzaton</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 xml:space="preserve">of the fair value of the related party liability the Obagi China Business. </w:t>
      </w:r>
      <w:r>
        <w:rPr>
          <w:rFonts w:ascii="Calibri" w:cs="Calibri" w:eastAsia="Calibri" w:hAnsi="Calibri"/>
          <w:sz w:val="13"/>
          <w:szCs w:val="13"/>
          <w:color w:val="181818"/>
        </w:rPr>
        <w:t>The Adjusted Gross Proft reconciliaton by Segment for each period is included in the Appendix.</w:t>
      </w:r>
    </w:p>
    <w:p>
      <w:pPr>
        <w:spacing w:after="0" w:line="130"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181818"/>
        </w:rPr>
        <w:t xml:space="preserve">Adjusted Gross Margin </w:t>
      </w:r>
      <w:r>
        <w:rPr>
          <w:rFonts w:ascii="Calibri" w:cs="Calibri" w:eastAsia="Calibri" w:hAnsi="Calibri"/>
          <w:sz w:val="13"/>
          <w:szCs w:val="13"/>
          <w:color w:val="181818"/>
        </w:rPr>
        <w:t>is defned as Adjusted Gross Proft divided by GAAP Net Revenue.</w:t>
      </w:r>
    </w:p>
    <w:p>
      <w:pPr>
        <w:spacing w:after="0" w:line="147" w:lineRule="exact"/>
        <w:rPr>
          <w:sz w:val="20"/>
          <w:szCs w:val="20"/>
          <w:color w:val="auto"/>
        </w:rPr>
      </w:pPr>
    </w:p>
    <w:p>
      <w:pPr>
        <w:ind w:left="8"/>
        <w:spacing w:after="0"/>
        <w:rPr>
          <w:sz w:val="20"/>
          <w:szCs w:val="20"/>
          <w:color w:val="auto"/>
        </w:rPr>
      </w:pPr>
      <w:r>
        <w:rPr>
          <w:rFonts w:ascii="Calibri" w:cs="Calibri" w:eastAsia="Calibri" w:hAnsi="Calibri"/>
          <w:sz w:val="13"/>
          <w:szCs w:val="13"/>
          <w:b w:val="1"/>
          <w:bCs w:val="1"/>
          <w:color w:val="181818"/>
        </w:rPr>
        <w:t xml:space="preserve">Net Debt Positon </w:t>
      </w:r>
      <w:r>
        <w:rPr>
          <w:rFonts w:ascii="Calibri" w:cs="Calibri" w:eastAsia="Calibri" w:hAnsi="Calibri"/>
          <w:sz w:val="13"/>
          <w:szCs w:val="13"/>
          <w:color w:val="181818"/>
        </w:rPr>
        <w:t>is defned as the principal outstanding for the 2022 Term Loan and 2022 Revolving Credit Facility minus the cash and cash equivalents as of March 31, 2024.</w:t>
      </w:r>
    </w:p>
    <w:tbl>
      <w:tblPr>
        <w:tblLayout w:type="fixed"/>
        <w:tblInd w:w="8"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right"/>
              <w:ind w:right="134"/>
              <w:spacing w:after="0" w:line="149" w:lineRule="exact"/>
              <w:rPr>
                <w:sz w:val="20"/>
                <w:szCs w:val="20"/>
                <w:color w:val="auto"/>
              </w:rPr>
            </w:pPr>
            <w:r>
              <w:rPr>
                <w:rFonts w:ascii="Calibri" w:cs="Calibri" w:eastAsia="Calibri" w:hAnsi="Calibri"/>
                <w:sz w:val="13"/>
                <w:szCs w:val="13"/>
                <w:b w:val="1"/>
                <w:bCs w:val="1"/>
                <w:color w:val="auto"/>
              </w:rPr>
              <w:t>Reconciliaton of Net Carrying</w:t>
            </w:r>
          </w:p>
        </w:tc>
      </w:tr>
      <w:tr>
        <w:trPr>
          <w:trHeight w:val="157"/>
        </w:trPr>
        <w:tc>
          <w:tcPr>
            <w:tcW w:w="3860" w:type="dxa"/>
            <w:vAlign w:val="bottom"/>
          </w:tcPr>
          <w:p>
            <w:pPr>
              <w:spacing w:after="0" w:line="157" w:lineRule="exact"/>
              <w:rPr>
                <w:sz w:val="20"/>
                <w:szCs w:val="20"/>
                <w:color w:val="auto"/>
              </w:rPr>
            </w:pPr>
            <w:r>
              <w:rPr>
                <w:rFonts w:ascii="Calibri" w:cs="Calibri" w:eastAsia="Calibri" w:hAnsi="Calibri"/>
                <w:sz w:val="13"/>
                <w:szCs w:val="13"/>
                <w:i w:val="1"/>
                <w:iCs w:val="1"/>
                <w:color w:val="auto"/>
              </w:rPr>
              <w:t>U.S. Dollars (in thousands)</w:t>
            </w:r>
          </w:p>
        </w:tc>
        <w:tc>
          <w:tcPr>
            <w:tcW w:w="5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jc w:val="right"/>
              <w:ind w:right="174"/>
              <w:spacing w:after="0" w:line="157" w:lineRule="exact"/>
              <w:rPr>
                <w:sz w:val="20"/>
                <w:szCs w:val="20"/>
                <w:color w:val="auto"/>
              </w:rPr>
            </w:pPr>
            <w:r>
              <w:rPr>
                <w:rFonts w:ascii="Calibri" w:cs="Calibri" w:eastAsia="Calibri" w:hAnsi="Calibri"/>
                <w:sz w:val="13"/>
                <w:szCs w:val="13"/>
                <w:b w:val="1"/>
                <w:bCs w:val="1"/>
                <w:color w:val="auto"/>
              </w:rPr>
              <w:t>Amount of debt to Net Debt</w:t>
            </w:r>
          </w:p>
        </w:tc>
      </w:tr>
      <w:tr>
        <w:trPr>
          <w:trHeight w:val="31"/>
        </w:trPr>
        <w:tc>
          <w:tcPr>
            <w:tcW w:w="386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60"/>
        </w:trPr>
        <w:tc>
          <w:tcPr>
            <w:tcW w:w="3860" w:type="dxa"/>
            <w:vAlign w:val="bottom"/>
            <w:shd w:val="clear" w:color="auto" w:fill="CCEEFF"/>
          </w:tcPr>
          <w:p>
            <w:pPr>
              <w:spacing w:after="0" w:line="157" w:lineRule="exact"/>
              <w:rPr>
                <w:sz w:val="20"/>
                <w:szCs w:val="20"/>
                <w:color w:val="auto"/>
              </w:rPr>
            </w:pPr>
            <w:r>
              <w:rPr>
                <w:rFonts w:ascii="Calibri" w:cs="Calibri" w:eastAsia="Calibri" w:hAnsi="Calibri"/>
                <w:sz w:val="13"/>
                <w:szCs w:val="13"/>
                <w:color w:val="auto"/>
              </w:rPr>
              <w:t>Current porton of long-term debt</w:t>
            </w:r>
          </w:p>
        </w:tc>
        <w:tc>
          <w:tcPr>
            <w:tcW w:w="5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9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24,352</w:t>
            </w:r>
          </w:p>
        </w:tc>
      </w:tr>
      <w:tr>
        <w:trPr>
          <w:trHeight w:val="164"/>
        </w:trPr>
        <w:tc>
          <w:tcPr>
            <w:tcW w:w="3860" w:type="dxa"/>
            <w:vAlign w:val="bottom"/>
            <w:tcBorders>
              <w:bottom w:val="single" w:sz="8" w:color="CCEEFF"/>
            </w:tcBorders>
          </w:tcPr>
          <w:p>
            <w:pPr>
              <w:spacing w:after="0" w:line="157" w:lineRule="exact"/>
              <w:rPr>
                <w:sz w:val="20"/>
                <w:szCs w:val="20"/>
                <w:color w:val="auto"/>
              </w:rPr>
            </w:pPr>
            <w:r>
              <w:rPr>
                <w:rFonts w:ascii="Calibri" w:cs="Calibri" w:eastAsia="Calibri" w:hAnsi="Calibri"/>
                <w:sz w:val="13"/>
                <w:szCs w:val="13"/>
                <w:color w:val="auto"/>
              </w:rPr>
              <w:t>Long-term debt</w:t>
            </w:r>
          </w:p>
        </w:tc>
        <w:tc>
          <w:tcPr>
            <w:tcW w:w="5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line="157" w:lineRule="exact"/>
              <w:rPr>
                <w:sz w:val="20"/>
                <w:szCs w:val="20"/>
                <w:color w:val="auto"/>
              </w:rPr>
            </w:pPr>
            <w:r>
              <w:rPr>
                <w:rFonts w:ascii="Calibri" w:cs="Calibri" w:eastAsia="Calibri" w:hAnsi="Calibri"/>
                <w:sz w:val="13"/>
                <w:szCs w:val="13"/>
                <w:color w:val="auto"/>
              </w:rPr>
              <w:t>149,369</w:t>
            </w:r>
          </w:p>
        </w:tc>
      </w:tr>
      <w:tr>
        <w:trPr>
          <w:trHeight w:val="167"/>
        </w:trPr>
        <w:tc>
          <w:tcPr>
            <w:tcW w:w="3860" w:type="dxa"/>
            <w:vAlign w:val="bottom"/>
            <w:shd w:val="clear" w:color="auto" w:fill="CCEEFF"/>
          </w:tcPr>
          <w:p>
            <w:pPr>
              <w:spacing w:after="0" w:line="144" w:lineRule="exact"/>
              <w:rPr>
                <w:sz w:val="20"/>
                <w:szCs w:val="20"/>
                <w:color w:val="auto"/>
              </w:rPr>
            </w:pPr>
            <w:r>
              <w:rPr>
                <w:rFonts w:ascii="Calibri" w:cs="Calibri" w:eastAsia="Calibri" w:hAnsi="Calibri"/>
                <w:sz w:val="13"/>
                <w:szCs w:val="13"/>
                <w:color w:val="auto"/>
              </w:rPr>
              <w:t>Net carrying amount of debt</w:t>
            </w:r>
          </w:p>
        </w:tc>
        <w:tc>
          <w:tcPr>
            <w:tcW w:w="5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173,721</w:t>
            </w:r>
          </w:p>
        </w:tc>
      </w:tr>
      <w:tr>
        <w:trPr>
          <w:trHeight w:val="164"/>
        </w:trPr>
        <w:tc>
          <w:tcPr>
            <w:tcW w:w="3860" w:type="dxa"/>
            <w:vAlign w:val="bottom"/>
          </w:tcPr>
          <w:p>
            <w:pPr>
              <w:spacing w:after="0" w:line="157" w:lineRule="exact"/>
              <w:rPr>
                <w:sz w:val="20"/>
                <w:szCs w:val="20"/>
                <w:color w:val="auto"/>
              </w:rPr>
            </w:pPr>
            <w:r>
              <w:rPr>
                <w:rFonts w:ascii="Calibri" w:cs="Calibri" w:eastAsia="Calibri" w:hAnsi="Calibri"/>
                <w:sz w:val="13"/>
                <w:szCs w:val="13"/>
                <w:color w:val="auto"/>
              </w:rPr>
              <w:t>Adjustments:</w:t>
            </w: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8"/>
        </w:trPr>
        <w:tc>
          <w:tcPr>
            <w:tcW w:w="3860" w:type="dxa"/>
            <w:vAlign w:val="bottom"/>
            <w:shd w:val="clear" w:color="auto" w:fill="CCEEFF"/>
          </w:tcPr>
          <w:p>
            <w:pPr>
              <w:spacing w:after="0"/>
              <w:rPr>
                <w:sz w:val="20"/>
                <w:szCs w:val="20"/>
                <w:color w:val="auto"/>
              </w:rPr>
            </w:pPr>
            <w:r>
              <w:rPr>
                <w:rFonts w:ascii="Calibri" w:cs="Calibri" w:eastAsia="Calibri" w:hAnsi="Calibri"/>
                <w:sz w:val="13"/>
                <w:szCs w:val="13"/>
                <w:color w:val="auto"/>
              </w:rPr>
              <w:t>Add: Unamortzed debt issuance costs</w:t>
            </w:r>
          </w:p>
        </w:tc>
        <w:tc>
          <w:tcPr>
            <w:tcW w:w="5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3,541</w:t>
            </w:r>
          </w:p>
        </w:tc>
      </w:tr>
      <w:tr>
        <w:trPr>
          <w:trHeight w:val="164"/>
        </w:trPr>
        <w:tc>
          <w:tcPr>
            <w:tcW w:w="3860" w:type="dxa"/>
            <w:vAlign w:val="bottom"/>
            <w:tcBorders>
              <w:bottom w:val="single" w:sz="8" w:color="CCEEFF"/>
            </w:tcBorders>
          </w:tcPr>
          <w:p>
            <w:pPr>
              <w:spacing w:after="0" w:line="157" w:lineRule="exact"/>
              <w:rPr>
                <w:sz w:val="20"/>
                <w:szCs w:val="20"/>
                <w:color w:val="auto"/>
              </w:rPr>
            </w:pPr>
            <w:r>
              <w:rPr>
                <w:rFonts w:ascii="Calibri" w:cs="Calibri" w:eastAsia="Calibri" w:hAnsi="Calibri"/>
                <w:sz w:val="13"/>
                <w:szCs w:val="13"/>
                <w:color w:val="auto"/>
              </w:rPr>
              <w:t>Less: Cash &amp; cash equivalents</w:t>
            </w:r>
          </w:p>
        </w:tc>
        <w:tc>
          <w:tcPr>
            <w:tcW w:w="5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line="157" w:lineRule="exact"/>
              <w:rPr>
                <w:sz w:val="20"/>
                <w:szCs w:val="20"/>
                <w:color w:val="auto"/>
              </w:rPr>
            </w:pPr>
            <w:r>
              <w:rPr>
                <w:rFonts w:ascii="Calibri" w:cs="Calibri" w:eastAsia="Calibri" w:hAnsi="Calibri"/>
                <w:sz w:val="13"/>
                <w:szCs w:val="13"/>
                <w:color w:val="auto"/>
              </w:rPr>
              <w:t>(26,769)</w:t>
            </w:r>
          </w:p>
        </w:tc>
      </w:tr>
      <w:tr>
        <w:trPr>
          <w:trHeight w:val="185"/>
        </w:trPr>
        <w:tc>
          <w:tcPr>
            <w:tcW w:w="3860" w:type="dxa"/>
            <w:vAlign w:val="bottom"/>
            <w:tcBorders>
              <w:bottom w:val="single" w:sz="8" w:color="CCEEFF"/>
            </w:tcBorders>
            <w:shd w:val="clear" w:color="auto" w:fill="CCEEFF"/>
          </w:tcPr>
          <w:p>
            <w:pPr>
              <w:spacing w:after="0" w:line="157" w:lineRule="exact"/>
              <w:rPr>
                <w:sz w:val="20"/>
                <w:szCs w:val="20"/>
                <w:color w:val="auto"/>
              </w:rPr>
            </w:pPr>
            <w:r>
              <w:rPr>
                <w:rFonts w:ascii="Calibri" w:cs="Calibri" w:eastAsia="Calibri" w:hAnsi="Calibri"/>
                <w:sz w:val="13"/>
                <w:szCs w:val="13"/>
                <w:b w:val="1"/>
                <w:bCs w:val="1"/>
                <w:color w:val="auto"/>
              </w:rPr>
              <w:t>Net Debt</w:t>
            </w:r>
          </w:p>
        </w:tc>
        <w:tc>
          <w:tcPr>
            <w:tcW w:w="5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w w:val="90"/>
              </w:rPr>
              <w:t>$</w:t>
            </w:r>
          </w:p>
        </w:tc>
        <w:tc>
          <w:tcPr>
            <w:tcW w:w="1920" w:type="dxa"/>
            <w:vAlign w:val="bottom"/>
            <w:tcBorders>
              <w:bottom w:val="single" w:sz="8" w:color="auto"/>
            </w:tcBorders>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150,493</w:t>
            </w:r>
          </w:p>
        </w:tc>
      </w:tr>
      <w:tr>
        <w:trPr>
          <w:trHeight w:val="750"/>
        </w:trPr>
        <w:tc>
          <w:tcPr>
            <w:tcW w:w="3860" w:type="dxa"/>
            <w:vAlign w:val="bottom"/>
          </w:tcPr>
          <w:p>
            <w:pPr>
              <w:spacing w:after="0"/>
              <w:rPr>
                <w:sz w:val="24"/>
                <w:szCs w:val="24"/>
                <w:color w:val="auto"/>
              </w:rPr>
            </w:pPr>
          </w:p>
        </w:tc>
        <w:tc>
          <w:tcPr>
            <w:tcW w:w="5300" w:type="dxa"/>
            <w:vAlign w:val="bottom"/>
          </w:tcPr>
          <w:p>
            <w:pPr>
              <w:jc w:val="right"/>
              <w:ind w:right="3414"/>
              <w:spacing w:after="0"/>
              <w:rPr>
                <w:sz w:val="20"/>
                <w:szCs w:val="20"/>
                <w:color w:val="auto"/>
              </w:rPr>
            </w:pPr>
            <w:r>
              <w:rPr>
                <w:rFonts w:ascii="Calibri" w:cs="Calibri" w:eastAsia="Calibri" w:hAnsi="Calibri"/>
                <w:sz w:val="13"/>
                <w:szCs w:val="13"/>
                <w:color w:val="auto"/>
              </w:rPr>
              <w:t>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308"/>
          </w:cols>
          <w:pgMar w:left="292" w:top="657" w:right="29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b w:val="1"/>
          <w:bCs w:val="1"/>
          <w:u w:val="single" w:color="auto"/>
          <w:color w:val="auto"/>
        </w:rPr>
        <w:t>About Waldencast plc</w:t>
      </w:r>
    </w:p>
    <w:p>
      <w:pPr>
        <w:spacing w:after="0" w:line="21" w:lineRule="exact"/>
        <w:rPr>
          <w:sz w:val="20"/>
          <w:szCs w:val="20"/>
          <w:color w:val="auto"/>
        </w:rPr>
      </w:pPr>
    </w:p>
    <w:p>
      <w:pPr>
        <w:jc w:val="both"/>
        <w:spacing w:after="0" w:line="261" w:lineRule="auto"/>
        <w:rPr>
          <w:sz w:val="20"/>
          <w:szCs w:val="20"/>
          <w:color w:val="auto"/>
        </w:rPr>
      </w:pPr>
      <w:r>
        <w:rPr>
          <w:rFonts w:ascii="Calibri" w:cs="Calibri" w:eastAsia="Calibri" w:hAnsi="Calibri"/>
          <w:sz w:val="13"/>
          <w:szCs w:val="13"/>
          <w:color w:val="auto"/>
        </w:rPr>
        <w:t xml:space="preserve">Founded by Michel Brousset and Hind Sebt, Waldencast’s ambiton is to build a global best-in-class beauty and wellness operatng platorm by developing, acquiring, acceleratng, and scaling conscious, high-growth purpose-driven brands. Waldencast’s vision is fundamentally underpinned by its brand-led business model that ensures proximity to its customers, business agility, and market responsiveness, while maintaining each brand’s distnct DNA. The frst step in realizing its vision was the business combinaton with Obagi Skincare and Milk Makeup. As part of the Waldencast platorm, its brands will beneft from the operatonal scale of a mult-brand platorm; the expertse in managing global beauty brands at scale; a balanced portolio to mitgate category fuctuatons; asset light efciency; and the market responsiveness and speed of entrepreneurial indie brands. For more informaton please visit: </w:t>
      </w:r>
      <w:r>
        <w:rPr>
          <w:rFonts w:ascii="Calibri" w:cs="Calibri" w:eastAsia="Calibri" w:hAnsi="Calibri"/>
          <w:sz w:val="13"/>
          <w:szCs w:val="13"/>
          <w:color w:val="0563C1"/>
        </w:rPr>
        <w:t>htps://ir.waldencast.com/</w:t>
      </w:r>
      <w:r>
        <w:rPr>
          <w:rFonts w:ascii="Calibri" w:cs="Calibri" w:eastAsia="Calibri" w:hAnsi="Calibri"/>
          <w:sz w:val="13"/>
          <w:szCs w:val="13"/>
          <w:color w:val="auto"/>
        </w:rPr>
        <w:t>.</w:t>
      </w:r>
    </w:p>
    <w:p>
      <w:pPr>
        <w:spacing w:after="0" w:line="163" w:lineRule="exact"/>
        <w:rPr>
          <w:sz w:val="20"/>
          <w:szCs w:val="20"/>
          <w:color w:val="auto"/>
        </w:rPr>
      </w:pPr>
    </w:p>
    <w:p>
      <w:pPr>
        <w:jc w:val="both"/>
        <w:spacing w:after="0" w:line="257" w:lineRule="auto"/>
        <w:rPr>
          <w:sz w:val="20"/>
          <w:szCs w:val="20"/>
          <w:color w:val="auto"/>
        </w:rPr>
      </w:pPr>
      <w:r>
        <w:rPr>
          <w:rFonts w:ascii="Calibri" w:cs="Calibri" w:eastAsia="Calibri" w:hAnsi="Calibri"/>
          <w:sz w:val="13"/>
          <w:szCs w:val="13"/>
          <w:color w:val="auto"/>
        </w:rPr>
        <w:t>Obagi Skincare is an industry-leading, advanced skin care line rooted in research and skin biology, refned with a legacy of 30 years’ experience. First known as leaders in the treatment of hyperpigmentaton with the Obagi Skincare Nu-Derm® System, Obagi Skincare products are designed to diminish the appearance of premature aging, photodamage, skin discoloraton, acne, and sun damage. More informaton about Obagi Skincare is available on the brand’s website at www.obagi.com.</w:t>
      </w:r>
    </w:p>
    <w:p>
      <w:pPr>
        <w:spacing w:after="0" w:line="165" w:lineRule="exact"/>
        <w:rPr>
          <w:sz w:val="20"/>
          <w:szCs w:val="20"/>
          <w:color w:val="auto"/>
        </w:rPr>
      </w:pPr>
    </w:p>
    <w:p>
      <w:pPr>
        <w:jc w:val="both"/>
        <w:ind w:right="20"/>
        <w:spacing w:after="0" w:line="257" w:lineRule="auto"/>
        <w:rPr>
          <w:sz w:val="20"/>
          <w:szCs w:val="20"/>
          <w:color w:val="auto"/>
        </w:rPr>
      </w:pPr>
      <w:r>
        <w:rPr>
          <w:rFonts w:ascii="Calibri" w:cs="Calibri" w:eastAsia="Calibri" w:hAnsi="Calibri"/>
          <w:sz w:val="13"/>
          <w:szCs w:val="13"/>
          <w:color w:val="auto"/>
        </w:rPr>
        <w:t>Founded in 2016, Milk Makeup quickly became a cult-favorite among the beauty community for its values of self-expression and inclusion, captured by its signature Live Your Look, its innovatve formulas and clean ingredients. The brand creates vegan, cruelty-free, clean formulas from its Milk Makeup HQ in Downtown NYC. Currently, Milk Makeup ofers over 300 products through its US website www.MilkMakeup.com, and its retail partners including Sephora in North America, Europe, the Middle East and Australia and Cult Beauty and Selfridges in the UK.</w:t>
      </w:r>
    </w:p>
    <w:p>
      <w:pPr>
        <w:spacing w:after="0" w:line="163"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Cautonary Statement Regarding Forward-Looking Statements</w:t>
      </w:r>
    </w:p>
    <w:p>
      <w:pPr>
        <w:spacing w:after="0" w:line="14" w:lineRule="exact"/>
        <w:rPr>
          <w:sz w:val="20"/>
          <w:szCs w:val="20"/>
          <w:color w:val="auto"/>
        </w:rPr>
      </w:pPr>
    </w:p>
    <w:p>
      <w:pPr>
        <w:jc w:val="both"/>
        <w:spacing w:after="0" w:line="258" w:lineRule="auto"/>
        <w:rPr>
          <w:sz w:val="20"/>
          <w:szCs w:val="20"/>
          <w:color w:val="auto"/>
        </w:rPr>
      </w:pPr>
      <w:r>
        <w:rPr>
          <w:rFonts w:ascii="Calibri" w:cs="Calibri" w:eastAsia="Calibri" w:hAnsi="Calibri"/>
          <w:sz w:val="13"/>
          <w:szCs w:val="13"/>
          <w:color w:val="auto"/>
        </w:rPr>
        <w:t>All statements in this release that are not historical, are forward-looking statements made pursuant to the safe harbor provisions of the Private Securites Litgaton Reform Act of 1995. Such statements include, but are not limited to, statements about: statements regarding Waldencast’s outlook and guidance for Fiscal 2024, the Company’s ability to deliver fnancial results in line with expectatons; expectatons regarding sales, earnings or other future fnancial performance and liquidity or other performance measures; the Company’s long-term strategy and future operatons or operatng results; expectatons with respect to the Company’s industry and the markets in which it operates; future product introductons; the Company’s ability to evidence compliance with all applicable requirements for contnued listng on Nasdaq; and any assumptons underlying any of the foregoing. Words such as “antcipate,” “believe,” “contnue,” “could,” “estmate,” “expect,” “intend,” “may,” “plan,” “predict,” “project,” “should,” and “will” and variatons of such words and similar expressions are intended to identfy such forward-looking statements.</w:t>
      </w:r>
    </w:p>
    <w:p>
      <w:pPr>
        <w:spacing w:after="0" w:line="164" w:lineRule="exact"/>
        <w:rPr>
          <w:sz w:val="20"/>
          <w:szCs w:val="20"/>
          <w:color w:val="auto"/>
        </w:rPr>
      </w:pPr>
    </w:p>
    <w:p>
      <w:pPr>
        <w:jc w:val="both"/>
        <w:spacing w:after="0" w:line="260" w:lineRule="auto"/>
        <w:rPr>
          <w:sz w:val="20"/>
          <w:szCs w:val="20"/>
          <w:color w:val="auto"/>
        </w:rPr>
      </w:pPr>
      <w:r>
        <w:rPr>
          <w:rFonts w:ascii="Calibri" w:cs="Calibri" w:eastAsia="Calibri" w:hAnsi="Calibri"/>
          <w:sz w:val="13"/>
          <w:szCs w:val="13"/>
          <w:color w:val="auto"/>
        </w:rPr>
        <w:t>These forward-looking statements are not guarantees of future performance, conditons or results, and involve a number of known and unknown risks, uncertaintes, assumptons and other important factors, many of which are outside the control of the Company, that could cause actual results or outcomes to difer materially from those discussed in the forward-looking statements, including, among others: (i) the inability to recognize the antcipated benefts of the business combinaton with Obagi Skincare and Milk Makeup, (ii) the ability of the Company to fle required fnancial results in a tmely manner, (iii) the Company’s ability to successfully remediate the material weaknesses in the Company’s internal control over fnancial reportng, (iv) the potental for delistng, legal proceedings or government investgatons or enforcement actons, including those relatng to the subject of the Audit Commitee of the Company’s Board of Directors’ review or inability to fnalize fnancial results in a tmely manner, (v) the Company’s ability to obtain additonal waivers from the Administratve Agent and the lenders under its credit facilites for any contnuing or future defaults or events of default, (vi) volatlity of Waldencast's securites due to a variety of factors, including Waldencast's inability</w:t>
      </w: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7</w:t>
      </w:r>
    </w:p>
    <w:p>
      <w:pPr>
        <w:sectPr>
          <w:pgSz w:w="11900" w:h="16838" w:orient="portrait"/>
          <w:cols w:equalWidth="0" w:num="1">
            <w:col w:w="11300"/>
          </w:cols>
          <w:pgMar w:left="300" w:top="669" w:right="299" w:bottom="1440" w:gutter="0" w:footer="0" w:header="0"/>
        </w:sectPr>
      </w:pPr>
    </w:p>
    <w:bookmarkStart w:id="10" w:name="page11"/>
    <w:bookmarkEnd w:id="10"/>
    <w:p>
      <w:pPr>
        <w:jc w:val="both"/>
        <w:spacing w:after="0" w:line="257" w:lineRule="auto"/>
        <w:rPr>
          <w:sz w:val="20"/>
          <w:szCs w:val="20"/>
          <w:color w:val="auto"/>
        </w:rPr>
      </w:pPr>
      <w:r>
        <w:rPr>
          <w:rFonts w:ascii="Calibri" w:cs="Calibri" w:eastAsia="Calibri" w:hAnsi="Calibri"/>
          <w:sz w:val="13"/>
          <w:szCs w:val="13"/>
          <w:color w:val="auto"/>
        </w:rPr>
        <w:t>to implement its business plans or meet or exceed its fnancial projectons and changes, (vii) the ability to implement business plans, forecasts, and other expectatons, and identfy and realize additonal opportunites, (viii) the ability of Waldencast to implement its strategic initatves and contnue to innovate Obagi Skincare’s and Milk Makeup’s existng products and antcipate and respond to market trends and changes in consumer preferences, (ix) any shifs in the preferences of consumers as to where and how they shop, and (x) social, politcal and economic conditons. These and other risks, assumptons and uncertaintes are more fully described in the Risk Factors secton of our 2023 20-F (File No. 01-40207), fled with the Securites and Exchange Commission (the “SEC”) on April 30, 2024, and in our other documents that we fle or furnish with the SEC, which you are encouraged to read.</w:t>
      </w:r>
    </w:p>
    <w:p>
      <w:pPr>
        <w:spacing w:after="0" w:line="167" w:lineRule="exact"/>
        <w:rPr>
          <w:sz w:val="20"/>
          <w:szCs w:val="20"/>
          <w:color w:val="auto"/>
        </w:rPr>
      </w:pPr>
    </w:p>
    <w:p>
      <w:pPr>
        <w:jc w:val="both"/>
        <w:spacing w:after="0" w:line="257" w:lineRule="auto"/>
        <w:rPr>
          <w:sz w:val="20"/>
          <w:szCs w:val="20"/>
          <w:color w:val="auto"/>
        </w:rPr>
      </w:pPr>
      <w:r>
        <w:rPr>
          <w:rFonts w:ascii="Calibri" w:cs="Calibri" w:eastAsia="Calibri" w:hAnsi="Calibri"/>
          <w:sz w:val="13"/>
          <w:szCs w:val="13"/>
          <w:color w:val="auto"/>
        </w:rPr>
        <w:t>Should one or more of these risks or uncertaintes materialize, or should underlying assumptons prove incorrect, actual results may vary materially from those indicated or antcipated by such forward-looking statements. Accordingly, you are cautoned not to rely on these forward-looking statements, which speak only as of the date they are made. Waldencast expressly disclaims any current intenton, and assumes no duty, to update publicly any forward-looking statement afer the distributon of this release, whether as a result of new informaton, future events, changes in assumptons or otherwise.</w:t>
      </w:r>
    </w:p>
    <w:p>
      <w:pPr>
        <w:spacing w:after="0" w:line="172"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Contacts:</w:t>
      </w:r>
    </w:p>
    <w:p>
      <w:pPr>
        <w:spacing w:after="0" w:line="174"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Investors</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ICR</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Allison Malkin</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waldencastr@icrinc.com</w:t>
      </w:r>
    </w:p>
    <w:p>
      <w:pPr>
        <w:spacing w:after="0" w:line="174"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Media</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ICR</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Britney Fraser/Alecia Pulman</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waldencast@icrinc.com</w:t>
      </w: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8</w:t>
      </w:r>
    </w:p>
    <w:p>
      <w:pPr>
        <w:sectPr>
          <w:pgSz w:w="11900" w:h="16838" w:orient="portrait"/>
          <w:cols w:equalWidth="0" w:num="1">
            <w:col w:w="11300"/>
          </w:cols>
          <w:pgMar w:left="300" w:top="672" w:right="29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Appendix</w:t>
      </w:r>
    </w:p>
    <w:p>
      <w:pPr>
        <w:spacing w:after="0" w:line="171"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Adjusted EBITDA Margin by Segment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gridSpan w:val="2"/>
          </w:tcPr>
          <w:p>
            <w:pPr>
              <w:jc w:val="center"/>
              <w:ind w:right="220"/>
              <w:spacing w:after="0"/>
              <w:rPr>
                <w:sz w:val="20"/>
                <w:szCs w:val="20"/>
                <w:color w:val="auto"/>
              </w:rPr>
            </w:pPr>
            <w:r>
              <w:rPr>
                <w:rFonts w:ascii="Calibri" w:cs="Calibri" w:eastAsia="Calibri" w:hAnsi="Calibri"/>
                <w:sz w:val="13"/>
                <w:szCs w:val="13"/>
                <w:b w:val="1"/>
                <w:bCs w:val="1"/>
                <w:color w:val="auto"/>
              </w:rPr>
              <w:t>Obagi Skincare</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480" w:type="dxa"/>
            <w:vAlign w:val="bottom"/>
            <w:vMerge w:val="restart"/>
          </w:tcPr>
          <w:p>
            <w:pPr>
              <w:spacing w:after="0"/>
              <w:rPr>
                <w:sz w:val="20"/>
                <w:szCs w:val="20"/>
                <w:color w:val="auto"/>
              </w:rPr>
            </w:pPr>
            <w:r>
              <w:rPr>
                <w:rFonts w:ascii="Calibri" w:cs="Calibri" w:eastAsia="Calibri" w:hAnsi="Calibri"/>
                <w:sz w:val="13"/>
                <w:szCs w:val="13"/>
                <w:i w:val="1"/>
                <w:iCs w:val="1"/>
                <w:color w:val="auto"/>
              </w:rPr>
              <w:t>U.S. Dollars (in thousands except for percentages)</w:t>
            </w:r>
          </w:p>
        </w:tc>
        <w:tc>
          <w:tcPr>
            <w:tcW w:w="120" w:type="dxa"/>
            <w:vAlign w:val="bottom"/>
          </w:tcPr>
          <w:p>
            <w:pPr>
              <w:spacing w:after="0"/>
              <w:rPr>
                <w:sz w:val="9"/>
                <w:szCs w:val="9"/>
                <w:color w:val="auto"/>
              </w:rPr>
            </w:pPr>
          </w:p>
        </w:tc>
        <w:tc>
          <w:tcPr>
            <w:tcW w:w="1500" w:type="dxa"/>
            <w:vAlign w:val="bottom"/>
            <w:gridSpan w:val="2"/>
          </w:tcPr>
          <w:p>
            <w:pPr>
              <w:jc w:val="center"/>
              <w:ind w:right="220"/>
              <w:spacing w:after="0" w:line="114" w:lineRule="exact"/>
              <w:rPr>
                <w:sz w:val="20"/>
                <w:szCs w:val="20"/>
                <w:color w:val="auto"/>
              </w:rPr>
            </w:pPr>
            <w:r>
              <w:rPr>
                <w:rFonts w:ascii="Calibri" w:cs="Calibri" w:eastAsia="Calibri" w:hAnsi="Calibri"/>
                <w:sz w:val="12"/>
                <w:szCs w:val="12"/>
                <w:b w:val="1"/>
                <w:bCs w:val="1"/>
                <w:color w:val="auto"/>
              </w:rPr>
              <w:t>Three Months Ended</w:t>
            </w:r>
          </w:p>
        </w:tc>
        <w:tc>
          <w:tcPr>
            <w:tcW w:w="140" w:type="dxa"/>
            <w:vAlign w:val="bottom"/>
          </w:tcPr>
          <w:p>
            <w:pPr>
              <w:spacing w:after="0"/>
              <w:rPr>
                <w:sz w:val="9"/>
                <w:szCs w:val="9"/>
                <w:color w:val="auto"/>
              </w:rPr>
            </w:pPr>
          </w:p>
        </w:tc>
        <w:tc>
          <w:tcPr>
            <w:tcW w:w="1500" w:type="dxa"/>
            <w:vAlign w:val="bottom"/>
            <w:gridSpan w:val="2"/>
          </w:tcPr>
          <w:p>
            <w:pPr>
              <w:jc w:val="center"/>
              <w:ind w:right="220"/>
              <w:spacing w:after="0" w:line="114" w:lineRule="exact"/>
              <w:rPr>
                <w:sz w:val="20"/>
                <w:szCs w:val="20"/>
                <w:color w:val="auto"/>
              </w:rPr>
            </w:pPr>
            <w:r>
              <w:rPr>
                <w:rFonts w:ascii="Calibri" w:cs="Calibri" w:eastAsia="Calibri" w:hAnsi="Calibri"/>
                <w:sz w:val="12"/>
                <w:szCs w:val="12"/>
                <w:b w:val="1"/>
                <w:bCs w:val="1"/>
                <w:color w:val="auto"/>
              </w:rPr>
              <w:t>Three Months Ended</w:t>
            </w:r>
          </w:p>
        </w:tc>
        <w:tc>
          <w:tcPr>
            <w:tcW w:w="1560" w:type="dxa"/>
            <w:vAlign w:val="bottom"/>
            <w:gridSpan w:val="2"/>
          </w:tcPr>
          <w:p>
            <w:pPr>
              <w:jc w:val="right"/>
              <w:spacing w:after="0" w:line="114" w:lineRule="exact"/>
              <w:rPr>
                <w:sz w:val="20"/>
                <w:szCs w:val="20"/>
                <w:color w:val="auto"/>
              </w:rPr>
            </w:pPr>
            <w:r>
              <w:rPr>
                <w:rFonts w:ascii="Calibri" w:cs="Calibri" w:eastAsia="Calibri" w:hAnsi="Calibri"/>
                <w:sz w:val="12"/>
                <w:szCs w:val="12"/>
                <w:b w:val="1"/>
                <w:bCs w:val="1"/>
                <w:color w:val="auto"/>
              </w:rPr>
              <w:t>Year Ended December 31,</w:t>
            </w:r>
          </w:p>
        </w:tc>
        <w:tc>
          <w:tcPr>
            <w:tcW w:w="0" w:type="dxa"/>
            <w:vAlign w:val="bottom"/>
          </w:tcPr>
          <w:p>
            <w:pPr>
              <w:spacing w:after="0"/>
              <w:rPr>
                <w:sz w:val="1"/>
                <w:szCs w:val="1"/>
                <w:color w:val="auto"/>
              </w:rPr>
            </w:pPr>
          </w:p>
        </w:tc>
      </w:tr>
      <w:tr>
        <w:trPr>
          <w:trHeight w:val="157"/>
        </w:trPr>
        <w:tc>
          <w:tcPr>
            <w:tcW w:w="64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00"/>
              <w:spacing w:after="0" w:line="157" w:lineRule="exact"/>
              <w:rPr>
                <w:sz w:val="20"/>
                <w:szCs w:val="20"/>
                <w:color w:val="auto"/>
              </w:rPr>
            </w:pPr>
            <w:r>
              <w:rPr>
                <w:rFonts w:ascii="Calibri" w:cs="Calibri" w:eastAsia="Calibri" w:hAnsi="Calibri"/>
                <w:sz w:val="13"/>
                <w:szCs w:val="13"/>
                <w:b w:val="1"/>
                <w:bCs w:val="1"/>
                <w:color w:val="auto"/>
              </w:rPr>
              <w:t>March 31, 2024</w:t>
            </w:r>
          </w:p>
        </w:tc>
        <w:tc>
          <w:tcPr>
            <w:tcW w:w="140" w:type="dxa"/>
            <w:vAlign w:val="bottom"/>
          </w:tcPr>
          <w:p>
            <w:pPr>
              <w:spacing w:after="0"/>
              <w:rPr>
                <w:sz w:val="13"/>
                <w:szCs w:val="13"/>
                <w:color w:val="auto"/>
              </w:rPr>
            </w:pPr>
          </w:p>
        </w:tc>
        <w:tc>
          <w:tcPr>
            <w:tcW w:w="1500" w:type="dxa"/>
            <w:vAlign w:val="bottom"/>
            <w:gridSpan w:val="2"/>
          </w:tcPr>
          <w:p>
            <w:pPr>
              <w:jc w:val="center"/>
              <w:ind w:right="220"/>
              <w:spacing w:after="0" w:line="157" w:lineRule="exact"/>
              <w:rPr>
                <w:sz w:val="20"/>
                <w:szCs w:val="20"/>
                <w:color w:val="auto"/>
              </w:rPr>
            </w:pPr>
            <w:r>
              <w:rPr>
                <w:rFonts w:ascii="Calibri" w:cs="Calibri" w:eastAsia="Calibri" w:hAnsi="Calibri"/>
                <w:sz w:val="13"/>
                <w:szCs w:val="13"/>
                <w:b w:val="1"/>
                <w:bCs w:val="1"/>
                <w:color w:val="auto"/>
              </w:rPr>
              <w:t>March 31, 2023</w:t>
            </w:r>
          </w:p>
        </w:tc>
        <w:tc>
          <w:tcPr>
            <w:tcW w:w="360" w:type="dxa"/>
            <w:vAlign w:val="bottom"/>
          </w:tcPr>
          <w:p>
            <w:pPr>
              <w:spacing w:after="0"/>
              <w:rPr>
                <w:sz w:val="13"/>
                <w:szCs w:val="13"/>
                <w:color w:val="auto"/>
              </w:rPr>
            </w:pPr>
          </w:p>
        </w:tc>
        <w:tc>
          <w:tcPr>
            <w:tcW w:w="1200" w:type="dxa"/>
            <w:vAlign w:val="bottom"/>
          </w:tcPr>
          <w:p>
            <w:pPr>
              <w:jc w:val="right"/>
              <w:ind w:right="574"/>
              <w:spacing w:after="0" w:line="157" w:lineRule="exact"/>
              <w:rPr>
                <w:sz w:val="20"/>
                <w:szCs w:val="20"/>
                <w:color w:val="auto"/>
              </w:rPr>
            </w:pPr>
            <w:r>
              <w:rPr>
                <w:rFonts w:ascii="Calibri" w:cs="Calibri" w:eastAsia="Calibri" w:hAnsi="Calibri"/>
                <w:sz w:val="13"/>
                <w:szCs w:val="13"/>
                <w:b w:val="1"/>
                <w:bCs w:val="1"/>
                <w:color w:val="auto"/>
              </w:rPr>
              <w:t>2023</w:t>
            </w: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80" w:type="dxa"/>
            <w:vAlign w:val="bottom"/>
            <w:shd w:val="clear" w:color="auto" w:fill="CCEEFF"/>
          </w:tcPr>
          <w:p>
            <w:pPr>
              <w:spacing w:after="0" w:line="157" w:lineRule="exact"/>
              <w:rPr>
                <w:sz w:val="20"/>
                <w:szCs w:val="20"/>
                <w:color w:val="auto"/>
              </w:rPr>
            </w:pPr>
            <w:r>
              <w:rPr>
                <w:rFonts w:ascii="Calibri" w:cs="Calibri" w:eastAsia="Calibri" w:hAnsi="Calibri"/>
                <w:sz w:val="13"/>
                <w:szCs w:val="13"/>
                <w:b w:val="1"/>
                <w:bCs w:val="1"/>
                <w:color w:val="auto"/>
              </w:rPr>
              <w:t>Net Loss</w:t>
            </w:r>
          </w:p>
        </w:tc>
        <w:tc>
          <w:tcPr>
            <w:tcW w:w="1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54"/>
              <w:spacing w:after="0" w:line="157" w:lineRule="exact"/>
              <w:rPr>
                <w:sz w:val="20"/>
                <w:szCs w:val="20"/>
                <w:color w:val="auto"/>
              </w:rPr>
            </w:pPr>
            <w:r>
              <w:rPr>
                <w:rFonts w:ascii="Calibri" w:cs="Calibri" w:eastAsia="Calibri" w:hAnsi="Calibri"/>
                <w:sz w:val="13"/>
                <w:szCs w:val="13"/>
                <w:color w:val="auto"/>
              </w:rPr>
              <w:t>(5,761)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54"/>
              <w:spacing w:after="0" w:line="157" w:lineRule="exact"/>
              <w:rPr>
                <w:sz w:val="20"/>
                <w:szCs w:val="20"/>
                <w:color w:val="auto"/>
              </w:rPr>
            </w:pPr>
            <w:r>
              <w:rPr>
                <w:rFonts w:ascii="Calibri" w:cs="Calibri" w:eastAsia="Calibri" w:hAnsi="Calibri"/>
                <w:sz w:val="13"/>
                <w:szCs w:val="13"/>
                <w:color w:val="auto"/>
              </w:rPr>
              <w:t>(3,932)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5"/>
              <w:spacing w:after="0" w:line="157" w:lineRule="exact"/>
              <w:rPr>
                <w:sz w:val="20"/>
                <w:szCs w:val="20"/>
                <w:color w:val="auto"/>
              </w:rPr>
            </w:pPr>
            <w:r>
              <w:rPr>
                <w:rFonts w:ascii="Calibri" w:cs="Calibri" w:eastAsia="Calibri" w:hAnsi="Calibri"/>
                <w:sz w:val="13"/>
                <w:szCs w:val="13"/>
                <w:color w:val="auto"/>
                <w:w w:val="90"/>
              </w:rPr>
              <w:t>$</w:t>
            </w:r>
          </w:p>
        </w:tc>
        <w:tc>
          <w:tcPr>
            <w:tcW w:w="1200" w:type="dxa"/>
            <w:vAlign w:val="bottom"/>
            <w:shd w:val="clear" w:color="auto" w:fill="CCEEFF"/>
          </w:tcPr>
          <w:p>
            <w:pPr>
              <w:jc w:val="right"/>
              <w:ind w:right="54"/>
              <w:spacing w:after="0" w:line="157" w:lineRule="exact"/>
              <w:rPr>
                <w:sz w:val="20"/>
                <w:szCs w:val="20"/>
                <w:color w:val="auto"/>
              </w:rPr>
            </w:pPr>
            <w:r>
              <w:rPr>
                <w:rFonts w:ascii="Calibri" w:cs="Calibri" w:eastAsia="Calibri" w:hAnsi="Calibri"/>
                <w:sz w:val="13"/>
                <w:szCs w:val="13"/>
                <w:color w:val="auto"/>
              </w:rPr>
              <w:t>(32,214)</w:t>
            </w:r>
          </w:p>
        </w:tc>
        <w:tc>
          <w:tcPr>
            <w:tcW w:w="0" w:type="dxa"/>
            <w:vAlign w:val="bottom"/>
          </w:tcPr>
          <w:p>
            <w:pPr>
              <w:spacing w:after="0"/>
              <w:rPr>
                <w:sz w:val="1"/>
                <w:szCs w:val="1"/>
                <w:color w:val="auto"/>
              </w:rPr>
            </w:pPr>
          </w:p>
        </w:tc>
      </w:tr>
      <w:tr>
        <w:trPr>
          <w:trHeight w:val="164"/>
        </w:trPr>
        <w:tc>
          <w:tcPr>
            <w:tcW w:w="6480" w:type="dxa"/>
            <w:vAlign w:val="bottom"/>
          </w:tcPr>
          <w:p>
            <w:pPr>
              <w:spacing w:after="0" w:line="157" w:lineRule="exact"/>
              <w:rPr>
                <w:sz w:val="20"/>
                <w:szCs w:val="20"/>
                <w:color w:val="auto"/>
              </w:rPr>
            </w:pPr>
            <w:r>
              <w:rPr>
                <w:rFonts w:ascii="Calibri" w:cs="Calibri" w:eastAsia="Calibri" w:hAnsi="Calibri"/>
                <w:sz w:val="13"/>
                <w:szCs w:val="13"/>
                <w:color w:val="auto"/>
              </w:rPr>
              <w:t>Adjusted For:</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48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Depreciaton and amortzaton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10,395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10,472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41,984</w:t>
            </w:r>
          </w:p>
        </w:tc>
        <w:tc>
          <w:tcPr>
            <w:tcW w:w="0" w:type="dxa"/>
            <w:vAlign w:val="bottom"/>
          </w:tcPr>
          <w:p>
            <w:pPr>
              <w:spacing w:after="0"/>
              <w:rPr>
                <w:sz w:val="1"/>
                <w:szCs w:val="1"/>
                <w:color w:val="auto"/>
              </w:rPr>
            </w:pPr>
          </w:p>
        </w:tc>
      </w:tr>
      <w:tr>
        <w:trPr>
          <w:trHeight w:val="164"/>
        </w:trPr>
        <w:tc>
          <w:tcPr>
            <w:tcW w:w="6480" w:type="dxa"/>
            <w:vAlign w:val="bottom"/>
          </w:tcPr>
          <w:p>
            <w:pPr>
              <w:ind w:left="60"/>
              <w:spacing w:after="0" w:line="157" w:lineRule="exact"/>
              <w:rPr>
                <w:sz w:val="20"/>
                <w:szCs w:val="20"/>
                <w:color w:val="auto"/>
              </w:rPr>
            </w:pPr>
            <w:r>
              <w:rPr>
                <w:rFonts w:ascii="Calibri" w:cs="Calibri" w:eastAsia="Calibri" w:hAnsi="Calibri"/>
                <w:sz w:val="13"/>
                <w:szCs w:val="13"/>
                <w:color w:val="auto"/>
              </w:rPr>
              <w:t>Interest expense, net</w:t>
            </w:r>
          </w:p>
        </w:tc>
        <w:tc>
          <w:tcPr>
            <w:tcW w:w="120" w:type="dxa"/>
            <w:vAlign w:val="bottom"/>
          </w:tcPr>
          <w:p>
            <w:pPr>
              <w:spacing w:after="0"/>
              <w:rPr>
                <w:sz w:val="14"/>
                <w:szCs w:val="14"/>
                <w:color w:val="auto"/>
              </w:rPr>
            </w:pPr>
          </w:p>
        </w:tc>
        <w:tc>
          <w:tcPr>
            <w:tcW w:w="1420" w:type="dxa"/>
            <w:vAlign w:val="bottom"/>
          </w:tcPr>
          <w:p>
            <w:pPr>
              <w:jc w:val="right"/>
              <w:ind w:right="74"/>
              <w:spacing w:after="0" w:line="157" w:lineRule="exact"/>
              <w:rPr>
                <w:sz w:val="20"/>
                <w:szCs w:val="20"/>
                <w:color w:val="auto"/>
              </w:rPr>
            </w:pPr>
            <w:r>
              <w:rPr>
                <w:rFonts w:ascii="Calibri" w:cs="Calibri" w:eastAsia="Calibri" w:hAnsi="Calibri"/>
                <w:sz w:val="13"/>
                <w:szCs w:val="13"/>
                <w:color w:val="auto"/>
              </w:rPr>
              <w:t>3,187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2,863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12,644</w:t>
            </w:r>
          </w:p>
        </w:tc>
        <w:tc>
          <w:tcPr>
            <w:tcW w:w="0" w:type="dxa"/>
            <w:vAlign w:val="bottom"/>
          </w:tcPr>
          <w:p>
            <w:pPr>
              <w:spacing w:after="0"/>
              <w:rPr>
                <w:sz w:val="1"/>
                <w:szCs w:val="1"/>
                <w:color w:val="auto"/>
              </w:rPr>
            </w:pPr>
          </w:p>
        </w:tc>
      </w:tr>
      <w:tr>
        <w:trPr>
          <w:trHeight w:val="178"/>
        </w:trPr>
        <w:tc>
          <w:tcPr>
            <w:tcW w:w="648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Income tax beneft</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54"/>
              <w:spacing w:after="0"/>
              <w:rPr>
                <w:sz w:val="20"/>
                <w:szCs w:val="20"/>
                <w:color w:val="auto"/>
              </w:rPr>
            </w:pPr>
            <w:r>
              <w:rPr>
                <w:rFonts w:ascii="Calibri" w:cs="Calibri" w:eastAsia="Calibri" w:hAnsi="Calibri"/>
                <w:sz w:val="13"/>
                <w:szCs w:val="13"/>
                <w:color w:val="auto"/>
              </w:rPr>
              <w:t>(687)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54"/>
              <w:spacing w:after="0"/>
              <w:rPr>
                <w:sz w:val="20"/>
                <w:szCs w:val="20"/>
                <w:color w:val="auto"/>
              </w:rPr>
            </w:pPr>
            <w:r>
              <w:rPr>
                <w:rFonts w:ascii="Calibri" w:cs="Calibri" w:eastAsia="Calibri" w:hAnsi="Calibri"/>
                <w:sz w:val="13"/>
                <w:szCs w:val="13"/>
                <w:color w:val="auto"/>
              </w:rPr>
              <w:t>(2,449)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54"/>
              <w:spacing w:after="0"/>
              <w:rPr>
                <w:sz w:val="20"/>
                <w:szCs w:val="20"/>
                <w:color w:val="auto"/>
              </w:rPr>
            </w:pPr>
            <w:r>
              <w:rPr>
                <w:rFonts w:ascii="Calibri" w:cs="Calibri" w:eastAsia="Calibri" w:hAnsi="Calibri"/>
                <w:sz w:val="13"/>
                <w:szCs w:val="13"/>
                <w:color w:val="auto"/>
              </w:rPr>
              <w:t>(6,997)</w:t>
            </w:r>
          </w:p>
        </w:tc>
        <w:tc>
          <w:tcPr>
            <w:tcW w:w="0" w:type="dxa"/>
            <w:vAlign w:val="bottom"/>
          </w:tcPr>
          <w:p>
            <w:pPr>
              <w:spacing w:after="0"/>
              <w:rPr>
                <w:sz w:val="1"/>
                <w:szCs w:val="1"/>
                <w:color w:val="auto"/>
              </w:rPr>
            </w:pPr>
          </w:p>
        </w:tc>
      </w:tr>
      <w:tr>
        <w:trPr>
          <w:trHeight w:val="164"/>
        </w:trPr>
        <w:tc>
          <w:tcPr>
            <w:tcW w:w="6480" w:type="dxa"/>
            <w:vAlign w:val="bottom"/>
          </w:tcPr>
          <w:p>
            <w:pPr>
              <w:ind w:left="60"/>
              <w:spacing w:after="0" w:line="157" w:lineRule="exact"/>
              <w:rPr>
                <w:sz w:val="20"/>
                <w:szCs w:val="20"/>
                <w:color w:val="auto"/>
              </w:rPr>
            </w:pPr>
            <w:r>
              <w:rPr>
                <w:rFonts w:ascii="Calibri" w:cs="Calibri" w:eastAsia="Calibri" w:hAnsi="Calibri"/>
                <w:sz w:val="13"/>
                <w:szCs w:val="13"/>
                <w:color w:val="auto"/>
              </w:rPr>
              <w:t>Stock-based compensaton expense</w:t>
            </w:r>
          </w:p>
        </w:tc>
        <w:tc>
          <w:tcPr>
            <w:tcW w:w="120" w:type="dxa"/>
            <w:vAlign w:val="bottom"/>
          </w:tcPr>
          <w:p>
            <w:pPr>
              <w:spacing w:after="0"/>
              <w:rPr>
                <w:sz w:val="14"/>
                <w:szCs w:val="14"/>
                <w:color w:val="auto"/>
              </w:rPr>
            </w:pPr>
          </w:p>
        </w:tc>
        <w:tc>
          <w:tcPr>
            <w:tcW w:w="1420" w:type="dxa"/>
            <w:vAlign w:val="bottom"/>
          </w:tcPr>
          <w:p>
            <w:pPr>
              <w:jc w:val="right"/>
              <w:ind w:right="54"/>
              <w:spacing w:after="0" w:line="157" w:lineRule="exact"/>
              <w:rPr>
                <w:sz w:val="20"/>
                <w:szCs w:val="20"/>
                <w:color w:val="auto"/>
              </w:rPr>
            </w:pPr>
            <w:r>
              <w:rPr>
                <w:rFonts w:ascii="Calibri" w:cs="Calibri" w:eastAsia="Calibri" w:hAnsi="Calibri"/>
                <w:sz w:val="13"/>
                <w:szCs w:val="13"/>
                <w:color w:val="auto"/>
              </w:rPr>
              <w:t>(781)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1,488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726</w:t>
            </w:r>
          </w:p>
        </w:tc>
        <w:tc>
          <w:tcPr>
            <w:tcW w:w="0" w:type="dxa"/>
            <w:vAlign w:val="bottom"/>
          </w:tcPr>
          <w:p>
            <w:pPr>
              <w:spacing w:after="0"/>
              <w:rPr>
                <w:sz w:val="1"/>
                <w:szCs w:val="1"/>
                <w:color w:val="auto"/>
              </w:rPr>
            </w:pPr>
          </w:p>
        </w:tc>
      </w:tr>
      <w:tr>
        <w:trPr>
          <w:trHeight w:val="178"/>
        </w:trPr>
        <w:tc>
          <w:tcPr>
            <w:tcW w:w="648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Restatement related costs</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467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38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1,701</w:t>
            </w:r>
          </w:p>
        </w:tc>
        <w:tc>
          <w:tcPr>
            <w:tcW w:w="0" w:type="dxa"/>
            <w:vAlign w:val="bottom"/>
          </w:tcPr>
          <w:p>
            <w:pPr>
              <w:spacing w:after="0"/>
              <w:rPr>
                <w:sz w:val="1"/>
                <w:szCs w:val="1"/>
                <w:color w:val="auto"/>
              </w:rPr>
            </w:pPr>
          </w:p>
        </w:tc>
      </w:tr>
      <w:tr>
        <w:trPr>
          <w:trHeight w:val="164"/>
        </w:trPr>
        <w:tc>
          <w:tcPr>
            <w:tcW w:w="6480" w:type="dxa"/>
            <w:vAlign w:val="bottom"/>
          </w:tcPr>
          <w:p>
            <w:pPr>
              <w:ind w:left="60"/>
              <w:spacing w:after="0" w:line="157" w:lineRule="exact"/>
              <w:rPr>
                <w:sz w:val="20"/>
                <w:szCs w:val="20"/>
                <w:color w:val="auto"/>
              </w:rPr>
            </w:pPr>
            <w:r>
              <w:rPr>
                <w:rFonts w:ascii="Calibri" w:cs="Calibri" w:eastAsia="Calibri" w:hAnsi="Calibri"/>
                <w:sz w:val="13"/>
                <w:szCs w:val="13"/>
                <w:color w:val="auto"/>
              </w:rPr>
              <w:t>Amortzaton of related party liability</w:t>
            </w:r>
          </w:p>
        </w:tc>
        <w:tc>
          <w:tcPr>
            <w:tcW w:w="120" w:type="dxa"/>
            <w:vAlign w:val="bottom"/>
          </w:tcPr>
          <w:p>
            <w:pPr>
              <w:spacing w:after="0"/>
              <w:rPr>
                <w:sz w:val="14"/>
                <w:szCs w:val="14"/>
                <w:color w:val="auto"/>
              </w:rPr>
            </w:pPr>
          </w:p>
        </w:tc>
        <w:tc>
          <w:tcPr>
            <w:tcW w:w="1420" w:type="dxa"/>
            <w:vAlign w:val="bottom"/>
          </w:tcPr>
          <w:p>
            <w:pPr>
              <w:jc w:val="right"/>
              <w:ind w:right="54"/>
              <w:spacing w:after="0" w:line="157" w:lineRule="exact"/>
              <w:rPr>
                <w:sz w:val="20"/>
                <w:szCs w:val="20"/>
                <w:color w:val="auto"/>
              </w:rPr>
            </w:pPr>
            <w:r>
              <w:rPr>
                <w:rFonts w:ascii="Calibri" w:cs="Calibri" w:eastAsia="Calibri" w:hAnsi="Calibri"/>
                <w:sz w:val="13"/>
                <w:szCs w:val="13"/>
                <w:color w:val="auto"/>
              </w:rPr>
              <w:t>(316)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54"/>
              <w:spacing w:after="0" w:line="157" w:lineRule="exact"/>
              <w:rPr>
                <w:sz w:val="20"/>
                <w:szCs w:val="20"/>
                <w:color w:val="auto"/>
              </w:rPr>
            </w:pPr>
            <w:r>
              <w:rPr>
                <w:rFonts w:ascii="Calibri" w:cs="Calibri" w:eastAsia="Calibri" w:hAnsi="Calibri"/>
                <w:sz w:val="13"/>
                <w:szCs w:val="13"/>
                <w:color w:val="auto"/>
              </w:rPr>
              <w:t>(2,371)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4"/>
              <w:spacing w:after="0" w:line="157" w:lineRule="exact"/>
              <w:rPr>
                <w:sz w:val="20"/>
                <w:szCs w:val="20"/>
                <w:color w:val="auto"/>
              </w:rPr>
            </w:pPr>
            <w:r>
              <w:rPr>
                <w:rFonts w:ascii="Calibri" w:cs="Calibri" w:eastAsia="Calibri" w:hAnsi="Calibri"/>
                <w:sz w:val="13"/>
                <w:szCs w:val="13"/>
                <w:color w:val="auto"/>
              </w:rPr>
              <w:t>(4,058)</w:t>
            </w:r>
          </w:p>
        </w:tc>
        <w:tc>
          <w:tcPr>
            <w:tcW w:w="0" w:type="dxa"/>
            <w:vAlign w:val="bottom"/>
          </w:tcPr>
          <w:p>
            <w:pPr>
              <w:spacing w:after="0"/>
              <w:rPr>
                <w:sz w:val="1"/>
                <w:szCs w:val="1"/>
                <w:color w:val="auto"/>
              </w:rPr>
            </w:pPr>
          </w:p>
        </w:tc>
      </w:tr>
      <w:tr>
        <w:trPr>
          <w:trHeight w:val="178"/>
        </w:trPr>
        <w:tc>
          <w:tcPr>
            <w:tcW w:w="648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Other non-recurring costs</w:t>
            </w: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Calibri" w:cs="Calibri" w:eastAsia="Calibri" w:hAnsi="Calibri"/>
                <w:sz w:val="13"/>
                <w:szCs w:val="13"/>
                <w:color w:val="auto"/>
              </w:rPr>
              <w:t>239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54"/>
              <w:spacing w:after="0"/>
              <w:rPr>
                <w:sz w:val="20"/>
                <w:szCs w:val="20"/>
                <w:color w:val="auto"/>
              </w:rPr>
            </w:pPr>
            <w:r>
              <w:rPr>
                <w:rFonts w:ascii="Calibri" w:cs="Calibri" w:eastAsia="Calibri" w:hAnsi="Calibri"/>
                <w:sz w:val="13"/>
                <w:szCs w:val="13"/>
                <w:color w:val="auto"/>
              </w:rPr>
              <w:t>(634)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Calibri" w:cs="Calibri" w:eastAsia="Calibri" w:hAnsi="Calibri"/>
                <w:sz w:val="13"/>
                <w:szCs w:val="13"/>
                <w:color w:val="auto"/>
              </w:rPr>
              <w:t>7,028</w:t>
            </w:r>
          </w:p>
        </w:tc>
        <w:tc>
          <w:tcPr>
            <w:tcW w:w="0" w:type="dxa"/>
            <w:vAlign w:val="bottom"/>
          </w:tcPr>
          <w:p>
            <w:pPr>
              <w:spacing w:after="0"/>
              <w:rPr>
                <w:sz w:val="1"/>
                <w:szCs w:val="1"/>
                <w:color w:val="auto"/>
              </w:rPr>
            </w:pPr>
          </w:p>
        </w:tc>
      </w:tr>
      <w:tr>
        <w:trPr>
          <w:trHeight w:val="153"/>
        </w:trPr>
        <w:tc>
          <w:tcPr>
            <w:tcW w:w="6480" w:type="dxa"/>
            <w:vAlign w:val="bottom"/>
          </w:tcPr>
          <w:p>
            <w:pPr>
              <w:spacing w:after="0" w:line="137" w:lineRule="exact"/>
              <w:rPr>
                <w:sz w:val="20"/>
                <w:szCs w:val="20"/>
                <w:color w:val="auto"/>
              </w:rPr>
            </w:pPr>
            <w:r>
              <w:rPr>
                <w:rFonts w:ascii="Calibri" w:cs="Calibri" w:eastAsia="Calibri" w:hAnsi="Calibri"/>
                <w:sz w:val="13"/>
                <w:szCs w:val="13"/>
                <w:b w:val="1"/>
                <w:bCs w:val="1"/>
                <w:color w:val="auto"/>
              </w:rPr>
              <w:t>Adjusted EBITDA</w:t>
            </w:r>
          </w:p>
        </w:tc>
        <w:tc>
          <w:tcPr>
            <w:tcW w:w="120" w:type="dxa"/>
            <w:vAlign w:val="bottom"/>
          </w:tcPr>
          <w:p>
            <w:pPr>
              <w:jc w:val="right"/>
              <w:spacing w:after="0" w:line="153" w:lineRule="exact"/>
              <w:rPr>
                <w:sz w:val="20"/>
                <w:szCs w:val="20"/>
                <w:color w:val="auto"/>
              </w:rPr>
            </w:pPr>
            <w:r>
              <w:rPr>
                <w:rFonts w:ascii="Calibri" w:cs="Calibri" w:eastAsia="Calibri" w:hAnsi="Calibri"/>
                <w:sz w:val="13"/>
                <w:szCs w:val="13"/>
                <w:color w:val="auto"/>
                <w:w w:val="90"/>
              </w:rPr>
              <w:t>$</w:t>
            </w:r>
          </w:p>
        </w:tc>
        <w:tc>
          <w:tcPr>
            <w:tcW w:w="1420" w:type="dxa"/>
            <w:vAlign w:val="bottom"/>
          </w:tcPr>
          <w:p>
            <w:pPr>
              <w:jc w:val="right"/>
              <w:ind w:right="74"/>
              <w:spacing w:after="0" w:line="153" w:lineRule="exact"/>
              <w:rPr>
                <w:sz w:val="20"/>
                <w:szCs w:val="20"/>
                <w:color w:val="auto"/>
              </w:rPr>
            </w:pPr>
            <w:r>
              <w:rPr>
                <w:rFonts w:ascii="Calibri" w:cs="Calibri" w:eastAsia="Calibri" w:hAnsi="Calibri"/>
                <w:sz w:val="13"/>
                <w:szCs w:val="13"/>
                <w:color w:val="auto"/>
              </w:rPr>
              <w:t>6,743</w:t>
            </w:r>
          </w:p>
        </w:tc>
        <w:tc>
          <w:tcPr>
            <w:tcW w:w="80" w:type="dxa"/>
            <w:vAlign w:val="bottom"/>
          </w:tcPr>
          <w:p>
            <w:pPr>
              <w:spacing w:after="0"/>
              <w:rPr>
                <w:sz w:val="13"/>
                <w:szCs w:val="13"/>
                <w:color w:val="auto"/>
              </w:rPr>
            </w:pPr>
          </w:p>
        </w:tc>
        <w:tc>
          <w:tcPr>
            <w:tcW w:w="140" w:type="dxa"/>
            <w:vAlign w:val="bottom"/>
          </w:tcPr>
          <w:p>
            <w:pPr>
              <w:jc w:val="right"/>
              <w:spacing w:after="0" w:line="153" w:lineRule="exact"/>
              <w:rPr>
                <w:sz w:val="20"/>
                <w:szCs w:val="20"/>
                <w:color w:val="auto"/>
              </w:rPr>
            </w:pPr>
            <w:r>
              <w:rPr>
                <w:rFonts w:ascii="Calibri" w:cs="Calibri" w:eastAsia="Calibri" w:hAnsi="Calibri"/>
                <w:sz w:val="13"/>
                <w:szCs w:val="13"/>
                <w:color w:val="auto"/>
                <w:w w:val="90"/>
              </w:rPr>
              <w:t>$</w:t>
            </w:r>
          </w:p>
        </w:tc>
        <w:tc>
          <w:tcPr>
            <w:tcW w:w="1420" w:type="dxa"/>
            <w:vAlign w:val="bottom"/>
          </w:tcPr>
          <w:p>
            <w:pPr>
              <w:jc w:val="right"/>
              <w:ind w:right="94"/>
              <w:spacing w:after="0" w:line="153" w:lineRule="exact"/>
              <w:rPr>
                <w:sz w:val="20"/>
                <w:szCs w:val="20"/>
                <w:color w:val="auto"/>
              </w:rPr>
            </w:pPr>
            <w:r>
              <w:rPr>
                <w:rFonts w:ascii="Calibri" w:cs="Calibri" w:eastAsia="Calibri" w:hAnsi="Calibri"/>
                <w:sz w:val="13"/>
                <w:szCs w:val="13"/>
                <w:color w:val="auto"/>
              </w:rPr>
              <w:t>5,475</w:t>
            </w:r>
          </w:p>
        </w:tc>
        <w:tc>
          <w:tcPr>
            <w:tcW w:w="80" w:type="dxa"/>
            <w:vAlign w:val="bottom"/>
          </w:tcPr>
          <w:p>
            <w:pPr>
              <w:spacing w:after="0"/>
              <w:rPr>
                <w:sz w:val="13"/>
                <w:szCs w:val="13"/>
                <w:color w:val="auto"/>
              </w:rPr>
            </w:pPr>
          </w:p>
        </w:tc>
        <w:tc>
          <w:tcPr>
            <w:tcW w:w="360" w:type="dxa"/>
            <w:vAlign w:val="bottom"/>
          </w:tcPr>
          <w:p>
            <w:pPr>
              <w:jc w:val="right"/>
              <w:ind w:right="215"/>
              <w:spacing w:after="0" w:line="153" w:lineRule="exact"/>
              <w:rPr>
                <w:sz w:val="20"/>
                <w:szCs w:val="20"/>
                <w:color w:val="auto"/>
              </w:rPr>
            </w:pPr>
            <w:r>
              <w:rPr>
                <w:rFonts w:ascii="Calibri" w:cs="Calibri" w:eastAsia="Calibri" w:hAnsi="Calibri"/>
                <w:sz w:val="13"/>
                <w:szCs w:val="13"/>
                <w:color w:val="auto"/>
                <w:w w:val="90"/>
              </w:rPr>
              <w:t>$</w:t>
            </w:r>
          </w:p>
        </w:tc>
        <w:tc>
          <w:tcPr>
            <w:tcW w:w="1200" w:type="dxa"/>
            <w:vAlign w:val="bottom"/>
          </w:tcPr>
          <w:p>
            <w:pPr>
              <w:jc w:val="right"/>
              <w:ind w:right="94"/>
              <w:spacing w:after="0" w:line="153" w:lineRule="exact"/>
              <w:rPr>
                <w:sz w:val="20"/>
                <w:szCs w:val="20"/>
                <w:color w:val="auto"/>
              </w:rPr>
            </w:pPr>
            <w:r>
              <w:rPr>
                <w:rFonts w:ascii="Calibri" w:cs="Calibri" w:eastAsia="Calibri" w:hAnsi="Calibri"/>
                <w:sz w:val="13"/>
                <w:szCs w:val="13"/>
                <w:color w:val="auto"/>
              </w:rPr>
              <w:t>20,814</w:t>
            </w:r>
          </w:p>
        </w:tc>
        <w:tc>
          <w:tcPr>
            <w:tcW w:w="0" w:type="dxa"/>
            <w:vAlign w:val="bottom"/>
          </w:tcPr>
          <w:p>
            <w:pPr>
              <w:spacing w:after="0"/>
              <w:rPr>
                <w:sz w:val="1"/>
                <w:szCs w:val="1"/>
                <w:color w:val="auto"/>
              </w:rPr>
            </w:pPr>
          </w:p>
        </w:tc>
      </w:tr>
      <w:tr>
        <w:trPr>
          <w:trHeight w:val="178"/>
        </w:trPr>
        <w:tc>
          <w:tcPr>
            <w:tcW w:w="6480" w:type="dxa"/>
            <w:vAlign w:val="bottom"/>
            <w:shd w:val="clear" w:color="auto" w:fill="CCEEFF"/>
          </w:tcPr>
          <w:p>
            <w:pPr>
              <w:spacing w:after="0"/>
              <w:rPr>
                <w:sz w:val="20"/>
                <w:szCs w:val="20"/>
                <w:color w:val="auto"/>
              </w:rPr>
            </w:pPr>
            <w:r>
              <w:rPr>
                <w:rFonts w:ascii="Calibri" w:cs="Calibri" w:eastAsia="Calibri" w:hAnsi="Calibri"/>
                <w:sz w:val="13"/>
                <w:szCs w:val="13"/>
                <w:b w:val="1"/>
                <w:bCs w:val="1"/>
                <w:color w:val="auto"/>
              </w:rPr>
              <w:t>Net Revenue</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74"/>
              <w:spacing w:after="0"/>
              <w:rPr>
                <w:sz w:val="20"/>
                <w:szCs w:val="20"/>
                <w:color w:val="auto"/>
              </w:rPr>
            </w:pPr>
            <w:r>
              <w:rPr>
                <w:rFonts w:ascii="Calibri" w:cs="Calibri" w:eastAsia="Calibri" w:hAnsi="Calibri"/>
                <w:sz w:val="13"/>
                <w:szCs w:val="13"/>
                <w:color w:val="auto"/>
              </w:rPr>
              <w:t>33,768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31,551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5"/>
              <w:spacing w:after="0"/>
              <w:rPr>
                <w:sz w:val="20"/>
                <w:szCs w:val="20"/>
                <w:color w:val="auto"/>
              </w:rPr>
            </w:pPr>
            <w:r>
              <w:rPr>
                <w:rFonts w:ascii="Calibri" w:cs="Calibri" w:eastAsia="Calibri" w:hAnsi="Calibri"/>
                <w:sz w:val="13"/>
                <w:szCs w:val="13"/>
                <w:color w:val="auto"/>
                <w:w w:val="90"/>
              </w:rPr>
              <w:t>$</w:t>
            </w:r>
          </w:p>
        </w:tc>
        <w:tc>
          <w:tcPr>
            <w:tcW w:w="120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117,651</w:t>
            </w:r>
          </w:p>
        </w:tc>
        <w:tc>
          <w:tcPr>
            <w:tcW w:w="0" w:type="dxa"/>
            <w:vAlign w:val="bottom"/>
          </w:tcPr>
          <w:p>
            <w:pPr>
              <w:spacing w:after="0"/>
              <w:rPr>
                <w:sz w:val="1"/>
                <w:szCs w:val="1"/>
                <w:color w:val="auto"/>
              </w:rPr>
            </w:pPr>
          </w:p>
        </w:tc>
      </w:tr>
      <w:tr>
        <w:trPr>
          <w:trHeight w:val="164"/>
        </w:trPr>
        <w:tc>
          <w:tcPr>
            <w:tcW w:w="6480" w:type="dxa"/>
            <w:vAlign w:val="bottom"/>
          </w:tcPr>
          <w:p>
            <w:pPr>
              <w:spacing w:after="0" w:line="157" w:lineRule="exact"/>
              <w:rPr>
                <w:sz w:val="20"/>
                <w:szCs w:val="20"/>
                <w:color w:val="auto"/>
              </w:rPr>
            </w:pPr>
            <w:r>
              <w:rPr>
                <w:rFonts w:ascii="Calibri" w:cs="Calibri" w:eastAsia="Calibri" w:hAnsi="Calibri"/>
                <w:sz w:val="13"/>
                <w:szCs w:val="13"/>
                <w:b w:val="1"/>
                <w:bCs w:val="1"/>
                <w:color w:val="auto"/>
              </w:rPr>
              <w:t>Net Loss % of Net Revenue</w:t>
            </w:r>
          </w:p>
        </w:tc>
        <w:tc>
          <w:tcPr>
            <w:tcW w:w="120" w:type="dxa"/>
            <w:vAlign w:val="bottom"/>
          </w:tcPr>
          <w:p>
            <w:pPr>
              <w:spacing w:after="0"/>
              <w:rPr>
                <w:sz w:val="14"/>
                <w:szCs w:val="14"/>
                <w:color w:val="auto"/>
              </w:rPr>
            </w:pPr>
          </w:p>
        </w:tc>
        <w:tc>
          <w:tcPr>
            <w:tcW w:w="1420" w:type="dxa"/>
            <w:vAlign w:val="bottom"/>
          </w:tcPr>
          <w:p>
            <w:pPr>
              <w:jc w:val="right"/>
              <w:spacing w:after="0" w:line="157" w:lineRule="exact"/>
              <w:rPr>
                <w:sz w:val="20"/>
                <w:szCs w:val="20"/>
                <w:color w:val="auto"/>
              </w:rPr>
            </w:pPr>
            <w:r>
              <w:rPr>
                <w:rFonts w:ascii="Calibri" w:cs="Calibri" w:eastAsia="Calibri" w:hAnsi="Calibri"/>
                <w:sz w:val="13"/>
                <w:szCs w:val="13"/>
                <w:color w:val="auto"/>
              </w:rPr>
              <w:t>(17.1)%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57" w:lineRule="exact"/>
              <w:rPr>
                <w:sz w:val="20"/>
                <w:szCs w:val="20"/>
                <w:color w:val="auto"/>
              </w:rPr>
            </w:pPr>
            <w:r>
              <w:rPr>
                <w:rFonts w:ascii="Calibri" w:cs="Calibri" w:eastAsia="Calibri" w:hAnsi="Calibri"/>
                <w:sz w:val="13"/>
                <w:szCs w:val="13"/>
                <w:color w:val="auto"/>
              </w:rPr>
              <w:t>(12.5)%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57" w:lineRule="exact"/>
              <w:rPr>
                <w:sz w:val="20"/>
                <w:szCs w:val="20"/>
                <w:color w:val="auto"/>
              </w:rPr>
            </w:pPr>
            <w:r>
              <w:rPr>
                <w:rFonts w:ascii="Calibri" w:cs="Calibri" w:eastAsia="Calibri" w:hAnsi="Calibri"/>
                <w:sz w:val="13"/>
                <w:szCs w:val="13"/>
                <w:color w:val="auto"/>
              </w:rPr>
              <w:t>(27.4)%</w:t>
            </w:r>
          </w:p>
        </w:tc>
        <w:tc>
          <w:tcPr>
            <w:tcW w:w="0" w:type="dxa"/>
            <w:vAlign w:val="bottom"/>
          </w:tcPr>
          <w:p>
            <w:pPr>
              <w:spacing w:after="0"/>
              <w:rPr>
                <w:sz w:val="1"/>
                <w:szCs w:val="1"/>
                <w:color w:val="auto"/>
              </w:rPr>
            </w:pPr>
          </w:p>
        </w:tc>
      </w:tr>
      <w:tr>
        <w:trPr>
          <w:trHeight w:val="178"/>
        </w:trPr>
        <w:tc>
          <w:tcPr>
            <w:tcW w:w="6480" w:type="dxa"/>
            <w:vAlign w:val="bottom"/>
            <w:shd w:val="clear" w:color="auto" w:fill="CCEEFF"/>
          </w:tcPr>
          <w:p>
            <w:pPr>
              <w:spacing w:after="0"/>
              <w:rPr>
                <w:sz w:val="20"/>
                <w:szCs w:val="20"/>
                <w:color w:val="auto"/>
              </w:rPr>
            </w:pPr>
            <w:r>
              <w:rPr>
                <w:rFonts w:ascii="Calibri" w:cs="Calibri" w:eastAsia="Calibri" w:hAnsi="Calibri"/>
                <w:sz w:val="13"/>
                <w:szCs w:val="13"/>
                <w:b w:val="1"/>
                <w:bCs w:val="1"/>
                <w:color w:val="auto"/>
              </w:rPr>
              <w:t>Adjusted EBITDA Margin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20.0 %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17.4 %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17.7 %</w:t>
            </w:r>
          </w:p>
        </w:tc>
        <w:tc>
          <w:tcPr>
            <w:tcW w:w="0" w:type="dxa"/>
            <w:vAlign w:val="bottom"/>
          </w:tcPr>
          <w:p>
            <w:pPr>
              <w:spacing w:after="0"/>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gridSpan w:val="2"/>
          </w:tcPr>
          <w:p>
            <w:pPr>
              <w:jc w:val="center"/>
              <w:ind w:right="200"/>
              <w:spacing w:after="0"/>
              <w:rPr>
                <w:sz w:val="20"/>
                <w:szCs w:val="20"/>
                <w:color w:val="auto"/>
              </w:rPr>
            </w:pPr>
            <w:r>
              <w:rPr>
                <w:rFonts w:ascii="Calibri" w:cs="Calibri" w:eastAsia="Calibri" w:hAnsi="Calibri"/>
                <w:sz w:val="13"/>
                <w:szCs w:val="13"/>
                <w:b w:val="1"/>
                <w:bCs w:val="1"/>
                <w:color w:val="auto"/>
              </w:rPr>
              <w:t>Milk Makeup</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r>
      <w:tr>
        <w:trPr>
          <w:trHeight w:val="105"/>
        </w:trPr>
        <w:tc>
          <w:tcPr>
            <w:tcW w:w="6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tcPr>
          <w:p>
            <w:pPr>
              <w:jc w:val="center"/>
              <w:ind w:right="220"/>
              <w:spacing w:after="0" w:line="105" w:lineRule="exact"/>
              <w:rPr>
                <w:sz w:val="20"/>
                <w:szCs w:val="20"/>
                <w:color w:val="auto"/>
              </w:rPr>
            </w:pPr>
            <w:r>
              <w:rPr>
                <w:rFonts w:ascii="Calibri" w:cs="Calibri" w:eastAsia="Calibri" w:hAnsi="Calibri"/>
                <w:sz w:val="11"/>
                <w:szCs w:val="11"/>
                <w:b w:val="1"/>
                <w:bCs w:val="1"/>
                <w:color w:val="auto"/>
              </w:rPr>
              <w:t>Three Months Ended</w:t>
            </w:r>
          </w:p>
        </w:tc>
        <w:tc>
          <w:tcPr>
            <w:tcW w:w="140" w:type="dxa"/>
            <w:vAlign w:val="bottom"/>
          </w:tcPr>
          <w:p>
            <w:pPr>
              <w:spacing w:after="0"/>
              <w:rPr>
                <w:sz w:val="9"/>
                <w:szCs w:val="9"/>
                <w:color w:val="auto"/>
              </w:rPr>
            </w:pPr>
          </w:p>
        </w:tc>
        <w:tc>
          <w:tcPr>
            <w:tcW w:w="1500" w:type="dxa"/>
            <w:vAlign w:val="bottom"/>
            <w:gridSpan w:val="2"/>
          </w:tcPr>
          <w:p>
            <w:pPr>
              <w:jc w:val="center"/>
              <w:ind w:right="220"/>
              <w:spacing w:after="0" w:line="105" w:lineRule="exact"/>
              <w:rPr>
                <w:sz w:val="20"/>
                <w:szCs w:val="20"/>
                <w:color w:val="auto"/>
              </w:rPr>
            </w:pPr>
            <w:r>
              <w:rPr>
                <w:rFonts w:ascii="Calibri" w:cs="Calibri" w:eastAsia="Calibri" w:hAnsi="Calibri"/>
                <w:sz w:val="11"/>
                <w:szCs w:val="11"/>
                <w:b w:val="1"/>
                <w:bCs w:val="1"/>
                <w:color w:val="auto"/>
              </w:rPr>
              <w:t>Three Months Ended</w:t>
            </w:r>
          </w:p>
        </w:tc>
        <w:tc>
          <w:tcPr>
            <w:tcW w:w="1560" w:type="dxa"/>
            <w:vAlign w:val="bottom"/>
            <w:gridSpan w:val="2"/>
          </w:tcPr>
          <w:p>
            <w:pPr>
              <w:jc w:val="right"/>
              <w:spacing w:after="0" w:line="105" w:lineRule="exact"/>
              <w:rPr>
                <w:sz w:val="20"/>
                <w:szCs w:val="20"/>
                <w:color w:val="auto"/>
              </w:rPr>
            </w:pPr>
            <w:r>
              <w:rPr>
                <w:rFonts w:ascii="Calibri" w:cs="Calibri" w:eastAsia="Calibri" w:hAnsi="Calibri"/>
                <w:sz w:val="11"/>
                <w:szCs w:val="11"/>
                <w:b w:val="1"/>
                <w:bCs w:val="1"/>
                <w:color w:val="auto"/>
              </w:rPr>
              <w:t>Year Ended December 31,</w:t>
            </w:r>
          </w:p>
        </w:tc>
      </w:tr>
      <w:tr>
        <w:trPr>
          <w:trHeight w:val="157"/>
        </w:trPr>
        <w:tc>
          <w:tcPr>
            <w:tcW w:w="6480" w:type="dxa"/>
            <w:vAlign w:val="bottom"/>
          </w:tcPr>
          <w:p>
            <w:pPr>
              <w:spacing w:after="0" w:line="157" w:lineRule="exact"/>
              <w:rPr>
                <w:sz w:val="20"/>
                <w:szCs w:val="20"/>
                <w:color w:val="auto"/>
              </w:rPr>
            </w:pPr>
            <w:r>
              <w:rPr>
                <w:rFonts w:ascii="Calibri" w:cs="Calibri" w:eastAsia="Calibri" w:hAnsi="Calibri"/>
                <w:sz w:val="13"/>
                <w:szCs w:val="13"/>
                <w:i w:val="1"/>
                <w:iCs w:val="1"/>
                <w:color w:val="auto"/>
              </w:rPr>
              <w:t>U.S. Dollars (in thousands except for percentages)</w:t>
            </w:r>
          </w:p>
        </w:tc>
        <w:tc>
          <w:tcPr>
            <w:tcW w:w="120" w:type="dxa"/>
            <w:vAlign w:val="bottom"/>
          </w:tcPr>
          <w:p>
            <w:pPr>
              <w:spacing w:after="0"/>
              <w:rPr>
                <w:sz w:val="13"/>
                <w:szCs w:val="13"/>
                <w:color w:val="auto"/>
              </w:rPr>
            </w:pPr>
          </w:p>
        </w:tc>
        <w:tc>
          <w:tcPr>
            <w:tcW w:w="1500" w:type="dxa"/>
            <w:vAlign w:val="bottom"/>
            <w:gridSpan w:val="2"/>
          </w:tcPr>
          <w:p>
            <w:pPr>
              <w:jc w:val="center"/>
              <w:ind w:right="200"/>
              <w:spacing w:after="0" w:line="157" w:lineRule="exact"/>
              <w:rPr>
                <w:sz w:val="20"/>
                <w:szCs w:val="20"/>
                <w:color w:val="auto"/>
              </w:rPr>
            </w:pPr>
            <w:r>
              <w:rPr>
                <w:rFonts w:ascii="Calibri" w:cs="Calibri" w:eastAsia="Calibri" w:hAnsi="Calibri"/>
                <w:sz w:val="13"/>
                <w:szCs w:val="13"/>
                <w:b w:val="1"/>
                <w:bCs w:val="1"/>
                <w:color w:val="auto"/>
              </w:rPr>
              <w:t>March 31, 2024</w:t>
            </w:r>
          </w:p>
        </w:tc>
        <w:tc>
          <w:tcPr>
            <w:tcW w:w="140" w:type="dxa"/>
            <w:vAlign w:val="bottom"/>
          </w:tcPr>
          <w:p>
            <w:pPr>
              <w:spacing w:after="0"/>
              <w:rPr>
                <w:sz w:val="13"/>
                <w:szCs w:val="13"/>
                <w:color w:val="auto"/>
              </w:rPr>
            </w:pPr>
          </w:p>
        </w:tc>
        <w:tc>
          <w:tcPr>
            <w:tcW w:w="1500" w:type="dxa"/>
            <w:vAlign w:val="bottom"/>
            <w:gridSpan w:val="2"/>
          </w:tcPr>
          <w:p>
            <w:pPr>
              <w:jc w:val="center"/>
              <w:ind w:right="220"/>
              <w:spacing w:after="0" w:line="157" w:lineRule="exact"/>
              <w:rPr>
                <w:sz w:val="20"/>
                <w:szCs w:val="20"/>
                <w:color w:val="auto"/>
              </w:rPr>
            </w:pPr>
            <w:r>
              <w:rPr>
                <w:rFonts w:ascii="Calibri" w:cs="Calibri" w:eastAsia="Calibri" w:hAnsi="Calibri"/>
                <w:sz w:val="13"/>
                <w:szCs w:val="13"/>
                <w:b w:val="1"/>
                <w:bCs w:val="1"/>
                <w:color w:val="auto"/>
              </w:rPr>
              <w:t>March 31, 2023</w:t>
            </w:r>
          </w:p>
        </w:tc>
        <w:tc>
          <w:tcPr>
            <w:tcW w:w="360" w:type="dxa"/>
            <w:vAlign w:val="bottom"/>
          </w:tcPr>
          <w:p>
            <w:pPr>
              <w:spacing w:after="0"/>
              <w:rPr>
                <w:sz w:val="13"/>
                <w:szCs w:val="13"/>
                <w:color w:val="auto"/>
              </w:rPr>
            </w:pPr>
          </w:p>
        </w:tc>
        <w:tc>
          <w:tcPr>
            <w:tcW w:w="1200" w:type="dxa"/>
            <w:vAlign w:val="bottom"/>
          </w:tcPr>
          <w:p>
            <w:pPr>
              <w:jc w:val="right"/>
              <w:ind w:right="574"/>
              <w:spacing w:after="0" w:line="157" w:lineRule="exact"/>
              <w:rPr>
                <w:sz w:val="20"/>
                <w:szCs w:val="20"/>
                <w:color w:val="auto"/>
              </w:rPr>
            </w:pPr>
            <w:r>
              <w:rPr>
                <w:rFonts w:ascii="Calibri" w:cs="Calibri" w:eastAsia="Calibri" w:hAnsi="Calibri"/>
                <w:sz w:val="13"/>
                <w:szCs w:val="13"/>
                <w:b w:val="1"/>
                <w:bCs w:val="1"/>
                <w:color w:val="auto"/>
              </w:rPr>
              <w:t>2023</w:t>
            </w:r>
          </w:p>
        </w:tc>
      </w:tr>
      <w:tr>
        <w:trPr>
          <w:trHeight w:val="31"/>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1"/>
        </w:trPr>
        <w:tc>
          <w:tcPr>
            <w:tcW w:w="6480" w:type="dxa"/>
            <w:vAlign w:val="bottom"/>
            <w:shd w:val="clear" w:color="auto" w:fill="CCEEFF"/>
          </w:tcPr>
          <w:p>
            <w:pPr>
              <w:spacing w:after="0" w:line="157" w:lineRule="exact"/>
              <w:rPr>
                <w:sz w:val="20"/>
                <w:szCs w:val="20"/>
                <w:color w:val="auto"/>
              </w:rPr>
            </w:pPr>
            <w:r>
              <w:rPr>
                <w:rFonts w:ascii="Calibri" w:cs="Calibri" w:eastAsia="Calibri" w:hAnsi="Calibri"/>
                <w:sz w:val="13"/>
                <w:szCs w:val="13"/>
                <w:b w:val="1"/>
                <w:bCs w:val="1"/>
                <w:color w:val="auto"/>
              </w:rPr>
              <w:t>Net Income (Loss)</w:t>
            </w:r>
          </w:p>
        </w:tc>
        <w:tc>
          <w:tcPr>
            <w:tcW w:w="1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75"/>
              <w:spacing w:after="0" w:line="157" w:lineRule="exact"/>
              <w:rPr>
                <w:sz w:val="20"/>
                <w:szCs w:val="20"/>
                <w:color w:val="auto"/>
              </w:rPr>
            </w:pPr>
            <w:r>
              <w:rPr>
                <w:rFonts w:ascii="Calibri" w:cs="Calibri" w:eastAsia="Calibri" w:hAnsi="Calibri"/>
                <w:sz w:val="13"/>
                <w:szCs w:val="13"/>
                <w:color w:val="auto"/>
              </w:rPr>
              <w:t>5,340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97"/>
              <w:spacing w:after="0" w:line="157" w:lineRule="exact"/>
              <w:rPr>
                <w:sz w:val="20"/>
                <w:szCs w:val="20"/>
                <w:color w:val="auto"/>
              </w:rPr>
            </w:pPr>
            <w:r>
              <w:rPr>
                <w:rFonts w:ascii="Calibri" w:cs="Calibri" w:eastAsia="Calibri" w:hAnsi="Calibri"/>
                <w:sz w:val="13"/>
                <w:szCs w:val="13"/>
                <w:color w:val="auto"/>
              </w:rPr>
              <w:t>816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7"/>
              <w:spacing w:after="0" w:line="157" w:lineRule="exact"/>
              <w:rPr>
                <w:sz w:val="20"/>
                <w:szCs w:val="20"/>
                <w:color w:val="auto"/>
              </w:rPr>
            </w:pPr>
            <w:r>
              <w:rPr>
                <w:rFonts w:ascii="Calibri" w:cs="Calibri" w:eastAsia="Calibri" w:hAnsi="Calibri"/>
                <w:sz w:val="13"/>
                <w:szCs w:val="13"/>
                <w:color w:val="auto"/>
                <w:w w:val="90"/>
              </w:rPr>
              <w:t>$</w:t>
            </w:r>
          </w:p>
        </w:tc>
        <w:tc>
          <w:tcPr>
            <w:tcW w:w="1200" w:type="dxa"/>
            <w:vAlign w:val="bottom"/>
            <w:shd w:val="clear" w:color="auto" w:fill="CCEEFF"/>
          </w:tcPr>
          <w:p>
            <w:pPr>
              <w:jc w:val="right"/>
              <w:ind w:right="54"/>
              <w:spacing w:after="0" w:line="157" w:lineRule="exact"/>
              <w:rPr>
                <w:sz w:val="20"/>
                <w:szCs w:val="20"/>
                <w:color w:val="auto"/>
              </w:rPr>
            </w:pPr>
            <w:r>
              <w:rPr>
                <w:rFonts w:ascii="Calibri" w:cs="Calibri" w:eastAsia="Calibri" w:hAnsi="Calibri"/>
                <w:sz w:val="13"/>
                <w:szCs w:val="13"/>
                <w:color w:val="auto"/>
              </w:rPr>
              <w:t>(5,655)</w:t>
            </w:r>
          </w:p>
        </w:tc>
      </w:tr>
      <w:tr>
        <w:trPr>
          <w:trHeight w:val="164"/>
        </w:trPr>
        <w:tc>
          <w:tcPr>
            <w:tcW w:w="6480" w:type="dxa"/>
            <w:vAlign w:val="bottom"/>
          </w:tcPr>
          <w:p>
            <w:pPr>
              <w:spacing w:after="0" w:line="157" w:lineRule="exact"/>
              <w:rPr>
                <w:sz w:val="20"/>
                <w:szCs w:val="20"/>
                <w:color w:val="auto"/>
              </w:rPr>
            </w:pPr>
            <w:r>
              <w:rPr>
                <w:rFonts w:ascii="Calibri" w:cs="Calibri" w:eastAsia="Calibri" w:hAnsi="Calibri"/>
                <w:sz w:val="13"/>
                <w:szCs w:val="13"/>
                <w:color w:val="auto"/>
              </w:rPr>
              <w:t>Adjusted For:</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8"/>
        </w:trPr>
        <w:tc>
          <w:tcPr>
            <w:tcW w:w="648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Depreciaton and amortzaton</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75"/>
              <w:spacing w:after="0"/>
              <w:rPr>
                <w:sz w:val="20"/>
                <w:szCs w:val="20"/>
                <w:color w:val="auto"/>
              </w:rPr>
            </w:pPr>
            <w:r>
              <w:rPr>
                <w:rFonts w:ascii="Calibri" w:cs="Calibri" w:eastAsia="Calibri" w:hAnsi="Calibri"/>
                <w:sz w:val="13"/>
                <w:szCs w:val="13"/>
                <w:color w:val="auto"/>
              </w:rPr>
              <w:t>4,489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5,155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18,514</w:t>
            </w:r>
          </w:p>
        </w:tc>
      </w:tr>
      <w:tr>
        <w:trPr>
          <w:trHeight w:val="171"/>
        </w:trPr>
        <w:tc>
          <w:tcPr>
            <w:tcW w:w="6480" w:type="dxa"/>
            <w:vAlign w:val="bottom"/>
          </w:tcPr>
          <w:p>
            <w:pPr>
              <w:ind w:left="60"/>
              <w:spacing w:after="0" w:line="157" w:lineRule="exact"/>
              <w:rPr>
                <w:sz w:val="20"/>
                <w:szCs w:val="20"/>
                <w:color w:val="auto"/>
              </w:rPr>
            </w:pPr>
            <w:r>
              <w:rPr>
                <w:rFonts w:ascii="Calibri" w:cs="Calibri" w:eastAsia="Calibri" w:hAnsi="Calibri"/>
                <w:sz w:val="13"/>
                <w:szCs w:val="13"/>
                <w:color w:val="auto"/>
              </w:rPr>
              <w:t>Interest expense, net</w:t>
            </w:r>
          </w:p>
        </w:tc>
        <w:tc>
          <w:tcPr>
            <w:tcW w:w="120" w:type="dxa"/>
            <w:vAlign w:val="bottom"/>
          </w:tcPr>
          <w:p>
            <w:pPr>
              <w:spacing w:after="0"/>
              <w:rPr>
                <w:sz w:val="14"/>
                <w:szCs w:val="14"/>
                <w:color w:val="auto"/>
              </w:rPr>
            </w:pPr>
          </w:p>
        </w:tc>
        <w:tc>
          <w:tcPr>
            <w:tcW w:w="1420" w:type="dxa"/>
            <w:vAlign w:val="bottom"/>
          </w:tcPr>
          <w:p>
            <w:pPr>
              <w:jc w:val="right"/>
              <w:ind w:right="55"/>
              <w:spacing w:after="0" w:line="157" w:lineRule="exact"/>
              <w:rPr>
                <w:sz w:val="20"/>
                <w:szCs w:val="20"/>
                <w:color w:val="auto"/>
              </w:rPr>
            </w:pPr>
            <w:r>
              <w:rPr>
                <w:rFonts w:ascii="Calibri" w:cs="Calibri" w:eastAsia="Calibri" w:hAnsi="Calibri"/>
                <w:sz w:val="13"/>
                <w:szCs w:val="13"/>
                <w:color w:val="auto"/>
              </w:rPr>
              <w:t>(55)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97"/>
              <w:spacing w:after="0"/>
              <w:rPr>
                <w:sz w:val="20"/>
                <w:szCs w:val="20"/>
                <w:color w:val="auto"/>
              </w:rPr>
            </w:pPr>
            <w:r>
              <w:rPr>
                <w:rFonts w:ascii="Arial" w:cs="Arial" w:eastAsia="Arial" w:hAnsi="Arial"/>
                <w:sz w:val="12"/>
                <w:szCs w:val="12"/>
                <w:color w:val="auto"/>
              </w:rPr>
              <w:t>188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590</w:t>
            </w:r>
          </w:p>
        </w:tc>
      </w:tr>
      <w:tr>
        <w:trPr>
          <w:trHeight w:val="171"/>
        </w:trPr>
        <w:tc>
          <w:tcPr>
            <w:tcW w:w="6480" w:type="dxa"/>
            <w:vAlign w:val="bottom"/>
            <w:shd w:val="clear" w:color="auto" w:fill="CCEEFF"/>
          </w:tcPr>
          <w:p>
            <w:pPr>
              <w:ind w:left="60"/>
              <w:spacing w:after="0" w:line="157" w:lineRule="exact"/>
              <w:rPr>
                <w:sz w:val="20"/>
                <w:szCs w:val="20"/>
                <w:color w:val="auto"/>
              </w:rPr>
            </w:pPr>
            <w:r>
              <w:rPr>
                <w:rFonts w:ascii="Calibri" w:cs="Calibri" w:eastAsia="Calibri" w:hAnsi="Calibri"/>
                <w:sz w:val="13"/>
                <w:szCs w:val="13"/>
                <w:color w:val="auto"/>
              </w:rPr>
              <w:t>Income tax expense</w:t>
            </w: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40"/>
              <w:spacing w:after="0" w:line="157"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10</w:t>
            </w:r>
          </w:p>
        </w:tc>
      </w:tr>
      <w:tr>
        <w:trPr>
          <w:trHeight w:val="171"/>
        </w:trPr>
        <w:tc>
          <w:tcPr>
            <w:tcW w:w="6480" w:type="dxa"/>
            <w:vAlign w:val="bottom"/>
          </w:tcPr>
          <w:p>
            <w:pPr>
              <w:ind w:left="60"/>
              <w:spacing w:after="0" w:line="157" w:lineRule="exact"/>
              <w:rPr>
                <w:sz w:val="20"/>
                <w:szCs w:val="20"/>
                <w:color w:val="auto"/>
              </w:rPr>
            </w:pPr>
            <w:r>
              <w:rPr>
                <w:rFonts w:ascii="Calibri" w:cs="Calibri" w:eastAsia="Calibri" w:hAnsi="Calibri"/>
                <w:sz w:val="13"/>
                <w:szCs w:val="13"/>
                <w:color w:val="auto"/>
              </w:rPr>
              <w:t>Stock-based compensaton expense</w:t>
            </w:r>
          </w:p>
        </w:tc>
        <w:tc>
          <w:tcPr>
            <w:tcW w:w="120" w:type="dxa"/>
            <w:vAlign w:val="bottom"/>
          </w:tcPr>
          <w:p>
            <w:pPr>
              <w:spacing w:after="0"/>
              <w:rPr>
                <w:sz w:val="14"/>
                <w:szCs w:val="14"/>
                <w:color w:val="auto"/>
              </w:rPr>
            </w:pPr>
          </w:p>
        </w:tc>
        <w:tc>
          <w:tcPr>
            <w:tcW w:w="1420" w:type="dxa"/>
            <w:vAlign w:val="bottom"/>
          </w:tcPr>
          <w:p>
            <w:pPr>
              <w:jc w:val="right"/>
              <w:ind w:right="75"/>
              <w:spacing w:after="0" w:line="157" w:lineRule="exact"/>
              <w:rPr>
                <w:sz w:val="20"/>
                <w:szCs w:val="20"/>
                <w:color w:val="auto"/>
              </w:rPr>
            </w:pPr>
            <w:r>
              <w:rPr>
                <w:rFonts w:ascii="Calibri" w:cs="Calibri" w:eastAsia="Calibri" w:hAnsi="Calibri"/>
                <w:sz w:val="13"/>
                <w:szCs w:val="13"/>
                <w:color w:val="auto"/>
              </w:rPr>
              <w:t>357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97"/>
              <w:spacing w:after="0"/>
              <w:rPr>
                <w:sz w:val="20"/>
                <w:szCs w:val="20"/>
                <w:color w:val="auto"/>
              </w:rPr>
            </w:pPr>
            <w:r>
              <w:rPr>
                <w:rFonts w:ascii="Arial" w:cs="Arial" w:eastAsia="Arial" w:hAnsi="Arial"/>
                <w:sz w:val="12"/>
                <w:szCs w:val="12"/>
                <w:color w:val="auto"/>
              </w:rPr>
              <w:t>874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2,352</w:t>
            </w:r>
          </w:p>
        </w:tc>
      </w:tr>
      <w:tr>
        <w:trPr>
          <w:trHeight w:val="171"/>
        </w:trPr>
        <w:tc>
          <w:tcPr>
            <w:tcW w:w="6480" w:type="dxa"/>
            <w:vAlign w:val="bottom"/>
            <w:shd w:val="clear" w:color="auto" w:fill="CCEEFF"/>
          </w:tcPr>
          <w:p>
            <w:pPr>
              <w:ind w:left="60"/>
              <w:spacing w:after="0" w:line="157" w:lineRule="exact"/>
              <w:rPr>
                <w:sz w:val="20"/>
                <w:szCs w:val="20"/>
                <w:color w:val="auto"/>
              </w:rPr>
            </w:pPr>
            <w:r>
              <w:rPr>
                <w:rFonts w:ascii="Calibri" w:cs="Calibri" w:eastAsia="Calibri" w:hAnsi="Calibri"/>
                <w:sz w:val="13"/>
                <w:szCs w:val="13"/>
                <w:color w:val="auto"/>
              </w:rPr>
              <w:t>Restatement related costs</w:t>
            </w: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40"/>
              <w:spacing w:after="0" w:line="157" w:lineRule="exact"/>
              <w:rPr>
                <w:sz w:val="20"/>
                <w:szCs w:val="20"/>
                <w:color w:val="auto"/>
              </w:rPr>
            </w:pPr>
            <w:r>
              <w:rPr>
                <w:rFonts w:ascii="Calibri" w:cs="Calibri" w:eastAsia="Calibri" w:hAnsi="Calibri"/>
                <w:sz w:val="13"/>
                <w:szCs w:val="13"/>
                <w:color w:val="auto"/>
              </w:rPr>
              <w:t>—</w:t>
            </w: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27</w:t>
            </w:r>
          </w:p>
        </w:tc>
      </w:tr>
      <w:tr>
        <w:trPr>
          <w:trHeight w:val="171"/>
        </w:trPr>
        <w:tc>
          <w:tcPr>
            <w:tcW w:w="6480" w:type="dxa"/>
            <w:vAlign w:val="bottom"/>
            <w:tcBorders>
              <w:bottom w:val="single" w:sz="8" w:color="CCEEFF"/>
            </w:tcBorders>
          </w:tcPr>
          <w:p>
            <w:pPr>
              <w:ind w:left="60"/>
              <w:spacing w:after="0" w:line="157" w:lineRule="exact"/>
              <w:rPr>
                <w:sz w:val="20"/>
                <w:szCs w:val="20"/>
                <w:color w:val="auto"/>
              </w:rPr>
            </w:pPr>
            <w:r>
              <w:rPr>
                <w:rFonts w:ascii="Calibri" w:cs="Calibri" w:eastAsia="Calibri" w:hAnsi="Calibri"/>
                <w:sz w:val="13"/>
                <w:szCs w:val="13"/>
                <w:color w:val="auto"/>
              </w:rPr>
              <w:t>Other non-recurring costs</w:t>
            </w: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5"/>
              <w:spacing w:after="0" w:line="157" w:lineRule="exact"/>
              <w:rPr>
                <w:sz w:val="20"/>
                <w:szCs w:val="20"/>
                <w:color w:val="auto"/>
              </w:rPr>
            </w:pPr>
            <w:r>
              <w:rPr>
                <w:rFonts w:ascii="Calibri" w:cs="Calibri" w:eastAsia="Calibri" w:hAnsi="Calibri"/>
                <w:sz w:val="13"/>
                <w:szCs w:val="13"/>
                <w:color w:val="auto"/>
              </w:rPr>
              <w:t>(105)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7"/>
              <w:spacing w:after="0"/>
              <w:rPr>
                <w:sz w:val="20"/>
                <w:szCs w:val="20"/>
                <w:color w:val="auto"/>
              </w:rPr>
            </w:pPr>
            <w:r>
              <w:rPr>
                <w:rFonts w:ascii="Arial" w:cs="Arial" w:eastAsia="Arial" w:hAnsi="Arial"/>
                <w:sz w:val="12"/>
                <w:szCs w:val="12"/>
                <w:color w:val="auto"/>
              </w:rPr>
              <w:t>1,872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94"/>
              <w:spacing w:after="0" w:line="157" w:lineRule="exact"/>
              <w:rPr>
                <w:sz w:val="20"/>
                <w:szCs w:val="20"/>
                <w:color w:val="auto"/>
              </w:rPr>
            </w:pPr>
            <w:r>
              <w:rPr>
                <w:rFonts w:ascii="Calibri" w:cs="Calibri" w:eastAsia="Calibri" w:hAnsi="Calibri"/>
                <w:sz w:val="13"/>
                <w:szCs w:val="13"/>
                <w:color w:val="auto"/>
              </w:rPr>
              <w:t>2,566</w:t>
            </w:r>
          </w:p>
        </w:tc>
      </w:tr>
      <w:tr>
        <w:trPr>
          <w:trHeight w:val="160"/>
        </w:trPr>
        <w:tc>
          <w:tcPr>
            <w:tcW w:w="6480" w:type="dxa"/>
            <w:vAlign w:val="bottom"/>
            <w:shd w:val="clear" w:color="auto" w:fill="CCEEFF"/>
          </w:tcPr>
          <w:p>
            <w:pPr>
              <w:spacing w:after="0" w:line="137" w:lineRule="exact"/>
              <w:rPr>
                <w:sz w:val="20"/>
                <w:szCs w:val="20"/>
                <w:color w:val="auto"/>
              </w:rPr>
            </w:pPr>
            <w:r>
              <w:rPr>
                <w:rFonts w:ascii="Calibri" w:cs="Calibri" w:eastAsia="Calibri" w:hAnsi="Calibri"/>
                <w:sz w:val="13"/>
                <w:szCs w:val="13"/>
                <w:b w:val="1"/>
                <w:bCs w:val="1"/>
                <w:color w:val="auto"/>
              </w:rPr>
              <w:t>Adjusted EBITDA</w:t>
            </w:r>
          </w:p>
        </w:tc>
        <w:tc>
          <w:tcPr>
            <w:tcW w:w="1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75"/>
              <w:spacing w:after="0" w:line="157" w:lineRule="exact"/>
              <w:rPr>
                <w:sz w:val="20"/>
                <w:szCs w:val="20"/>
                <w:color w:val="auto"/>
              </w:rPr>
            </w:pPr>
            <w:r>
              <w:rPr>
                <w:rFonts w:ascii="Calibri" w:cs="Calibri" w:eastAsia="Calibri" w:hAnsi="Calibri"/>
                <w:sz w:val="13"/>
                <w:szCs w:val="13"/>
                <w:color w:val="auto"/>
              </w:rPr>
              <w:t>10,026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97"/>
              <w:spacing w:after="0" w:line="157" w:lineRule="exact"/>
              <w:rPr>
                <w:sz w:val="20"/>
                <w:szCs w:val="20"/>
                <w:color w:val="auto"/>
              </w:rPr>
            </w:pPr>
            <w:r>
              <w:rPr>
                <w:rFonts w:ascii="Calibri" w:cs="Calibri" w:eastAsia="Calibri" w:hAnsi="Calibri"/>
                <w:sz w:val="13"/>
                <w:szCs w:val="13"/>
                <w:color w:val="auto"/>
              </w:rPr>
              <w:t>8,905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7"/>
              <w:spacing w:after="0" w:line="157" w:lineRule="exact"/>
              <w:rPr>
                <w:sz w:val="20"/>
                <w:szCs w:val="20"/>
                <w:color w:val="auto"/>
              </w:rPr>
            </w:pPr>
            <w:r>
              <w:rPr>
                <w:rFonts w:ascii="Calibri" w:cs="Calibri" w:eastAsia="Calibri" w:hAnsi="Calibri"/>
                <w:sz w:val="13"/>
                <w:szCs w:val="13"/>
                <w:color w:val="auto"/>
                <w:w w:val="90"/>
              </w:rPr>
              <w:t>$</w:t>
            </w:r>
          </w:p>
        </w:tc>
        <w:tc>
          <w:tcPr>
            <w:tcW w:w="120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18,404</w:t>
            </w:r>
          </w:p>
        </w:tc>
      </w:tr>
      <w:tr>
        <w:trPr>
          <w:trHeight w:val="164"/>
        </w:trPr>
        <w:tc>
          <w:tcPr>
            <w:tcW w:w="6480" w:type="dxa"/>
            <w:vAlign w:val="bottom"/>
          </w:tcPr>
          <w:p>
            <w:pPr>
              <w:spacing w:after="0" w:line="157" w:lineRule="exact"/>
              <w:rPr>
                <w:sz w:val="20"/>
                <w:szCs w:val="20"/>
                <w:color w:val="auto"/>
              </w:rPr>
            </w:pPr>
            <w:r>
              <w:rPr>
                <w:rFonts w:ascii="Calibri" w:cs="Calibri" w:eastAsia="Calibri" w:hAnsi="Calibri"/>
                <w:sz w:val="13"/>
                <w:szCs w:val="13"/>
                <w:b w:val="1"/>
                <w:bCs w:val="1"/>
                <w:color w:val="auto"/>
              </w:rPr>
              <w:t>Net Revenue</w:t>
            </w:r>
          </w:p>
        </w:tc>
        <w:tc>
          <w:tcPr>
            <w:tcW w:w="12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tcPr>
          <w:p>
            <w:pPr>
              <w:jc w:val="right"/>
              <w:ind w:right="75"/>
              <w:spacing w:after="0" w:line="157" w:lineRule="exact"/>
              <w:rPr>
                <w:sz w:val="20"/>
                <w:szCs w:val="20"/>
                <w:color w:val="auto"/>
              </w:rPr>
            </w:pPr>
            <w:r>
              <w:rPr>
                <w:rFonts w:ascii="Calibri" w:cs="Calibri" w:eastAsia="Calibri" w:hAnsi="Calibri"/>
                <w:sz w:val="13"/>
                <w:szCs w:val="13"/>
                <w:color w:val="auto"/>
              </w:rPr>
              <w:t>34,503</w:t>
            </w:r>
          </w:p>
        </w:tc>
        <w:tc>
          <w:tcPr>
            <w:tcW w:w="80" w:type="dxa"/>
            <w:vAlign w:val="bottom"/>
          </w:tcPr>
          <w:p>
            <w:pPr>
              <w:spacing w:after="0"/>
              <w:rPr>
                <w:sz w:val="14"/>
                <w:szCs w:val="14"/>
                <w:color w:val="auto"/>
              </w:rPr>
            </w:pPr>
          </w:p>
        </w:tc>
        <w:tc>
          <w:tcPr>
            <w:tcW w:w="14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tcPr>
          <w:p>
            <w:pPr>
              <w:jc w:val="right"/>
              <w:ind w:right="97"/>
              <w:spacing w:after="0" w:line="157" w:lineRule="exact"/>
              <w:rPr>
                <w:sz w:val="20"/>
                <w:szCs w:val="20"/>
                <w:color w:val="auto"/>
              </w:rPr>
            </w:pPr>
            <w:r>
              <w:rPr>
                <w:rFonts w:ascii="Calibri" w:cs="Calibri" w:eastAsia="Calibri" w:hAnsi="Calibri"/>
                <w:sz w:val="13"/>
                <w:szCs w:val="13"/>
                <w:color w:val="auto"/>
              </w:rPr>
              <w:t>28,402</w:t>
            </w:r>
          </w:p>
        </w:tc>
        <w:tc>
          <w:tcPr>
            <w:tcW w:w="80" w:type="dxa"/>
            <w:vAlign w:val="bottom"/>
          </w:tcPr>
          <w:p>
            <w:pPr>
              <w:spacing w:after="0"/>
              <w:rPr>
                <w:sz w:val="14"/>
                <w:szCs w:val="14"/>
                <w:color w:val="auto"/>
              </w:rPr>
            </w:pPr>
          </w:p>
        </w:tc>
        <w:tc>
          <w:tcPr>
            <w:tcW w:w="360" w:type="dxa"/>
            <w:vAlign w:val="bottom"/>
          </w:tcPr>
          <w:p>
            <w:pPr>
              <w:jc w:val="right"/>
              <w:ind w:right="217"/>
              <w:spacing w:after="0" w:line="157" w:lineRule="exact"/>
              <w:rPr>
                <w:sz w:val="20"/>
                <w:szCs w:val="20"/>
                <w:color w:val="auto"/>
              </w:rPr>
            </w:pPr>
            <w:r>
              <w:rPr>
                <w:rFonts w:ascii="Calibri" w:cs="Calibri" w:eastAsia="Calibri" w:hAnsi="Calibri"/>
                <w:sz w:val="13"/>
                <w:szCs w:val="13"/>
                <w:color w:val="auto"/>
                <w:w w:val="90"/>
              </w:rPr>
              <w:t>$</w:t>
            </w: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100,487</w:t>
            </w:r>
          </w:p>
        </w:tc>
      </w:tr>
      <w:tr>
        <w:trPr>
          <w:trHeight w:val="178"/>
        </w:trPr>
        <w:tc>
          <w:tcPr>
            <w:tcW w:w="6480" w:type="dxa"/>
            <w:vAlign w:val="bottom"/>
            <w:shd w:val="clear" w:color="auto" w:fill="CCEEFF"/>
          </w:tcPr>
          <w:p>
            <w:pPr>
              <w:spacing w:after="0"/>
              <w:rPr>
                <w:sz w:val="20"/>
                <w:szCs w:val="20"/>
                <w:color w:val="auto"/>
              </w:rPr>
            </w:pPr>
            <w:r>
              <w:rPr>
                <w:rFonts w:ascii="Calibri" w:cs="Calibri" w:eastAsia="Calibri" w:hAnsi="Calibri"/>
                <w:sz w:val="13"/>
                <w:szCs w:val="13"/>
                <w:b w:val="1"/>
                <w:bCs w:val="1"/>
                <w:color w:val="auto"/>
              </w:rPr>
              <w:t>Net Income/(Loss) % of Net Revenue</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15.5 %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2.9 %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(5.6)%</w:t>
            </w:r>
          </w:p>
        </w:tc>
      </w:tr>
      <w:tr>
        <w:trPr>
          <w:trHeight w:val="157"/>
        </w:trPr>
        <w:tc>
          <w:tcPr>
            <w:tcW w:w="6480" w:type="dxa"/>
            <w:vAlign w:val="bottom"/>
          </w:tcPr>
          <w:p>
            <w:pPr>
              <w:spacing w:after="0" w:line="157" w:lineRule="exact"/>
              <w:rPr>
                <w:sz w:val="20"/>
                <w:szCs w:val="20"/>
                <w:color w:val="auto"/>
              </w:rPr>
            </w:pPr>
            <w:r>
              <w:rPr>
                <w:rFonts w:ascii="Calibri" w:cs="Calibri" w:eastAsia="Calibri" w:hAnsi="Calibri"/>
                <w:sz w:val="13"/>
                <w:szCs w:val="13"/>
                <w:b w:val="1"/>
                <w:bCs w:val="1"/>
                <w:color w:val="auto"/>
              </w:rPr>
              <w:t>Adjusted EBITDA Margin</w:t>
            </w:r>
          </w:p>
        </w:tc>
        <w:tc>
          <w:tcPr>
            <w:tcW w:w="12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Calibri" w:cs="Calibri" w:eastAsia="Calibri" w:hAnsi="Calibri"/>
                <w:sz w:val="13"/>
                <w:szCs w:val="13"/>
                <w:color w:val="auto"/>
              </w:rPr>
              <w:t>29.1 %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Calibri" w:cs="Calibri" w:eastAsia="Calibri" w:hAnsi="Calibri"/>
                <w:sz w:val="13"/>
                <w:szCs w:val="13"/>
                <w:color w:val="auto"/>
              </w:rPr>
              <w:t>31.4 %</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Calibri" w:cs="Calibri" w:eastAsia="Calibri" w:hAnsi="Calibri"/>
                <w:sz w:val="13"/>
                <w:szCs w:val="13"/>
                <w:color w:val="auto"/>
              </w:rPr>
              <w:t>18.3 %</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9</w:t>
      </w:r>
    </w:p>
    <w:p>
      <w:pPr>
        <w:sectPr>
          <w:pgSz w:w="11900" w:h="16838" w:orient="portrait"/>
          <w:cols w:equalWidth="0" w:num="1">
            <w:col w:w="11300"/>
          </w:cols>
          <w:pgMar w:left="300" w:top="823" w:right="299" w:bottom="1440" w:gutter="0" w:footer="0" w:header="0"/>
        </w:sectPr>
      </w:pPr>
    </w:p>
    <w:bookmarkStart w:id="12" w:name="page13"/>
    <w:bookmarkEnd w:id="12"/>
    <w:tbl>
      <w:tblPr>
        <w:tblLayout w:type="fixed"/>
        <w:tblInd w:w="8"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2"/>
          </w:tcPr>
          <w:p>
            <w:pPr>
              <w:jc w:val="center"/>
              <w:ind w:right="200"/>
              <w:spacing w:after="0"/>
              <w:rPr>
                <w:sz w:val="20"/>
                <w:szCs w:val="20"/>
                <w:color w:val="auto"/>
              </w:rPr>
            </w:pPr>
            <w:r>
              <w:rPr>
                <w:rFonts w:ascii="Calibri" w:cs="Calibri" w:eastAsia="Calibri" w:hAnsi="Calibri"/>
                <w:sz w:val="13"/>
                <w:szCs w:val="13"/>
                <w:b w:val="1"/>
                <w:bCs w:val="1"/>
                <w:color w:val="auto"/>
              </w:rPr>
              <w:t>Central costs</w:t>
            </w: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680" w:type="dxa"/>
            <w:vAlign w:val="bottom"/>
            <w:vMerge w:val="restart"/>
          </w:tcPr>
          <w:p>
            <w:pPr>
              <w:spacing w:after="0"/>
              <w:rPr>
                <w:sz w:val="20"/>
                <w:szCs w:val="20"/>
                <w:color w:val="auto"/>
              </w:rPr>
            </w:pPr>
            <w:r>
              <w:rPr>
                <w:rFonts w:ascii="Calibri" w:cs="Calibri" w:eastAsia="Calibri" w:hAnsi="Calibri"/>
                <w:sz w:val="13"/>
                <w:szCs w:val="13"/>
                <w:i w:val="1"/>
                <w:iCs w:val="1"/>
                <w:color w:val="auto"/>
              </w:rPr>
              <w:t>U.S. Dollars (in thousands except for percentages)</w:t>
            </w:r>
          </w:p>
        </w:tc>
        <w:tc>
          <w:tcPr>
            <w:tcW w:w="120" w:type="dxa"/>
            <w:vAlign w:val="bottom"/>
          </w:tcPr>
          <w:p>
            <w:pPr>
              <w:spacing w:after="0"/>
              <w:rPr>
                <w:sz w:val="9"/>
                <w:szCs w:val="9"/>
                <w:color w:val="auto"/>
              </w:rPr>
            </w:pPr>
          </w:p>
        </w:tc>
        <w:tc>
          <w:tcPr>
            <w:tcW w:w="1440" w:type="dxa"/>
            <w:vAlign w:val="bottom"/>
            <w:gridSpan w:val="2"/>
          </w:tcPr>
          <w:p>
            <w:pPr>
              <w:jc w:val="center"/>
              <w:ind w:right="200"/>
              <w:spacing w:after="0" w:line="114" w:lineRule="exact"/>
              <w:rPr>
                <w:sz w:val="20"/>
                <w:szCs w:val="20"/>
                <w:color w:val="auto"/>
              </w:rPr>
            </w:pPr>
            <w:r>
              <w:rPr>
                <w:rFonts w:ascii="Calibri" w:cs="Calibri" w:eastAsia="Calibri" w:hAnsi="Calibri"/>
                <w:sz w:val="12"/>
                <w:szCs w:val="12"/>
                <w:b w:val="1"/>
                <w:bCs w:val="1"/>
                <w:color w:val="auto"/>
              </w:rPr>
              <w:t>Three Months Ended</w:t>
            </w:r>
          </w:p>
        </w:tc>
        <w:tc>
          <w:tcPr>
            <w:tcW w:w="120" w:type="dxa"/>
            <w:vAlign w:val="bottom"/>
          </w:tcPr>
          <w:p>
            <w:pPr>
              <w:spacing w:after="0"/>
              <w:rPr>
                <w:sz w:val="9"/>
                <w:szCs w:val="9"/>
                <w:color w:val="auto"/>
              </w:rPr>
            </w:pPr>
          </w:p>
        </w:tc>
        <w:tc>
          <w:tcPr>
            <w:tcW w:w="1460" w:type="dxa"/>
            <w:vAlign w:val="bottom"/>
            <w:gridSpan w:val="2"/>
          </w:tcPr>
          <w:p>
            <w:pPr>
              <w:jc w:val="center"/>
              <w:ind w:right="200"/>
              <w:spacing w:after="0" w:line="114" w:lineRule="exact"/>
              <w:rPr>
                <w:sz w:val="20"/>
                <w:szCs w:val="20"/>
                <w:color w:val="auto"/>
              </w:rPr>
            </w:pPr>
            <w:r>
              <w:rPr>
                <w:rFonts w:ascii="Calibri" w:cs="Calibri" w:eastAsia="Calibri" w:hAnsi="Calibri"/>
                <w:sz w:val="12"/>
                <w:szCs w:val="12"/>
                <w:b w:val="1"/>
                <w:bCs w:val="1"/>
                <w:color w:val="auto"/>
              </w:rPr>
              <w:t>Three Months Ended</w:t>
            </w:r>
          </w:p>
        </w:tc>
        <w:tc>
          <w:tcPr>
            <w:tcW w:w="1480" w:type="dxa"/>
            <w:vAlign w:val="bottom"/>
            <w:gridSpan w:val="2"/>
          </w:tcPr>
          <w:p>
            <w:pPr>
              <w:ind w:left="20"/>
              <w:spacing w:after="0" w:line="114" w:lineRule="exact"/>
              <w:rPr>
                <w:sz w:val="20"/>
                <w:szCs w:val="20"/>
                <w:color w:val="auto"/>
              </w:rPr>
            </w:pPr>
            <w:r>
              <w:rPr>
                <w:rFonts w:ascii="Calibri" w:cs="Calibri" w:eastAsia="Calibri" w:hAnsi="Calibri"/>
                <w:sz w:val="12"/>
                <w:szCs w:val="12"/>
                <w:b w:val="1"/>
                <w:bCs w:val="1"/>
                <w:color w:val="auto"/>
              </w:rPr>
              <w:t>Year Ended December 31,</w:t>
            </w:r>
          </w:p>
        </w:tc>
        <w:tc>
          <w:tcPr>
            <w:tcW w:w="0" w:type="dxa"/>
            <w:vAlign w:val="bottom"/>
          </w:tcPr>
          <w:p>
            <w:pPr>
              <w:spacing w:after="0"/>
              <w:rPr>
                <w:sz w:val="1"/>
                <w:szCs w:val="1"/>
                <w:color w:val="auto"/>
              </w:rPr>
            </w:pPr>
          </w:p>
        </w:tc>
      </w:tr>
      <w:tr>
        <w:trPr>
          <w:trHeight w:val="157"/>
        </w:trPr>
        <w:tc>
          <w:tcPr>
            <w:tcW w:w="6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7" w:lineRule="exact"/>
              <w:rPr>
                <w:sz w:val="20"/>
                <w:szCs w:val="20"/>
                <w:color w:val="auto"/>
              </w:rPr>
            </w:pPr>
            <w:r>
              <w:rPr>
                <w:rFonts w:ascii="Calibri" w:cs="Calibri" w:eastAsia="Calibri" w:hAnsi="Calibri"/>
                <w:sz w:val="13"/>
                <w:szCs w:val="13"/>
                <w:b w:val="1"/>
                <w:bCs w:val="1"/>
                <w:color w:val="auto"/>
              </w:rPr>
              <w:t>March 31, 2024</w:t>
            </w:r>
          </w:p>
        </w:tc>
        <w:tc>
          <w:tcPr>
            <w:tcW w:w="120" w:type="dxa"/>
            <w:vAlign w:val="bottom"/>
          </w:tcPr>
          <w:p>
            <w:pPr>
              <w:spacing w:after="0"/>
              <w:rPr>
                <w:sz w:val="13"/>
                <w:szCs w:val="13"/>
                <w:color w:val="auto"/>
              </w:rPr>
            </w:pPr>
          </w:p>
        </w:tc>
        <w:tc>
          <w:tcPr>
            <w:tcW w:w="1460" w:type="dxa"/>
            <w:vAlign w:val="bottom"/>
            <w:gridSpan w:val="2"/>
          </w:tcPr>
          <w:p>
            <w:pPr>
              <w:jc w:val="center"/>
              <w:ind w:right="200"/>
              <w:spacing w:after="0" w:line="157" w:lineRule="exact"/>
              <w:rPr>
                <w:sz w:val="20"/>
                <w:szCs w:val="20"/>
                <w:color w:val="auto"/>
              </w:rPr>
            </w:pPr>
            <w:r>
              <w:rPr>
                <w:rFonts w:ascii="Calibri" w:cs="Calibri" w:eastAsia="Calibri" w:hAnsi="Calibri"/>
                <w:sz w:val="13"/>
                <w:szCs w:val="13"/>
                <w:b w:val="1"/>
                <w:bCs w:val="1"/>
                <w:color w:val="auto"/>
              </w:rPr>
              <w:t>March 31, 2023</w:t>
            </w:r>
          </w:p>
        </w:tc>
        <w:tc>
          <w:tcPr>
            <w:tcW w:w="340" w:type="dxa"/>
            <w:vAlign w:val="bottom"/>
          </w:tcPr>
          <w:p>
            <w:pPr>
              <w:spacing w:after="0"/>
              <w:rPr>
                <w:sz w:val="13"/>
                <w:szCs w:val="13"/>
                <w:color w:val="auto"/>
              </w:rPr>
            </w:pPr>
          </w:p>
        </w:tc>
        <w:tc>
          <w:tcPr>
            <w:tcW w:w="1140" w:type="dxa"/>
            <w:vAlign w:val="bottom"/>
          </w:tcPr>
          <w:p>
            <w:pPr>
              <w:jc w:val="right"/>
              <w:ind w:right="554"/>
              <w:spacing w:after="0" w:line="157" w:lineRule="exact"/>
              <w:rPr>
                <w:sz w:val="20"/>
                <w:szCs w:val="20"/>
                <w:color w:val="auto"/>
              </w:rPr>
            </w:pPr>
            <w:r>
              <w:rPr>
                <w:rFonts w:ascii="Calibri" w:cs="Calibri" w:eastAsia="Calibri" w:hAnsi="Calibri"/>
                <w:sz w:val="13"/>
                <w:szCs w:val="13"/>
                <w:b w:val="1"/>
                <w:bCs w:val="1"/>
                <w:color w:val="auto"/>
              </w:rPr>
              <w:t>2023</w:t>
            </w:r>
          </w:p>
        </w:tc>
        <w:tc>
          <w:tcPr>
            <w:tcW w:w="0" w:type="dxa"/>
            <w:vAlign w:val="bottom"/>
          </w:tcPr>
          <w:p>
            <w:pPr>
              <w:spacing w:after="0"/>
              <w:rPr>
                <w:sz w:val="1"/>
                <w:szCs w:val="1"/>
                <w:color w:val="auto"/>
              </w:rPr>
            </w:pPr>
          </w:p>
        </w:tc>
      </w:tr>
      <w:tr>
        <w:trPr>
          <w:trHeight w:val="22"/>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80" w:type="dxa"/>
            <w:vAlign w:val="bottom"/>
            <w:shd w:val="clear" w:color="auto" w:fill="CCEEFF"/>
          </w:tcPr>
          <w:p>
            <w:pPr>
              <w:spacing w:after="0" w:line="157" w:lineRule="exact"/>
              <w:rPr>
                <w:sz w:val="20"/>
                <w:szCs w:val="20"/>
                <w:color w:val="auto"/>
              </w:rPr>
            </w:pPr>
            <w:r>
              <w:rPr>
                <w:rFonts w:ascii="Calibri" w:cs="Calibri" w:eastAsia="Calibri" w:hAnsi="Calibri"/>
                <w:sz w:val="13"/>
                <w:szCs w:val="13"/>
                <w:b w:val="1"/>
                <w:bCs w:val="1"/>
                <w:color w:val="auto"/>
              </w:rPr>
              <w:t>Net Loss</w:t>
            </w:r>
          </w:p>
        </w:tc>
        <w:tc>
          <w:tcPr>
            <w:tcW w:w="1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36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(3,472)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36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(10,093)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line="157" w:lineRule="exact"/>
              <w:rPr>
                <w:sz w:val="20"/>
                <w:szCs w:val="20"/>
                <w:color w:val="auto"/>
              </w:rPr>
            </w:pPr>
            <w:r>
              <w:rPr>
                <w:rFonts w:ascii="Calibri" w:cs="Calibri" w:eastAsia="Calibri" w:hAnsi="Calibri"/>
                <w:sz w:val="13"/>
                <w:szCs w:val="13"/>
                <w:color w:val="auto"/>
              </w:rPr>
              <w:t>$</w:t>
            </w:r>
          </w:p>
        </w:tc>
        <w:tc>
          <w:tcPr>
            <w:tcW w:w="1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(68,099)</w:t>
            </w:r>
          </w:p>
        </w:tc>
        <w:tc>
          <w:tcPr>
            <w:tcW w:w="0" w:type="dxa"/>
            <w:vAlign w:val="bottom"/>
          </w:tcPr>
          <w:p>
            <w:pPr>
              <w:spacing w:after="0"/>
              <w:rPr>
                <w:sz w:val="1"/>
                <w:szCs w:val="1"/>
                <w:color w:val="auto"/>
              </w:rPr>
            </w:pPr>
          </w:p>
        </w:tc>
      </w:tr>
      <w:tr>
        <w:trPr>
          <w:trHeight w:val="164"/>
        </w:trPr>
        <w:tc>
          <w:tcPr>
            <w:tcW w:w="6680" w:type="dxa"/>
            <w:vAlign w:val="bottom"/>
          </w:tcPr>
          <w:p>
            <w:pPr>
              <w:spacing w:after="0" w:line="157" w:lineRule="exact"/>
              <w:rPr>
                <w:sz w:val="20"/>
                <w:szCs w:val="20"/>
                <w:color w:val="auto"/>
              </w:rPr>
            </w:pPr>
            <w:r>
              <w:rPr>
                <w:rFonts w:ascii="Calibri" w:cs="Calibri" w:eastAsia="Calibri" w:hAnsi="Calibri"/>
                <w:sz w:val="13"/>
                <w:szCs w:val="13"/>
                <w:color w:val="auto"/>
              </w:rPr>
              <w:t>Adjusted For:</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Interest expense, net</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1,160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1,429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5,654</w:t>
            </w:r>
          </w:p>
        </w:tc>
        <w:tc>
          <w:tcPr>
            <w:tcW w:w="0" w:type="dxa"/>
            <w:vAlign w:val="bottom"/>
          </w:tcPr>
          <w:p>
            <w:pPr>
              <w:spacing w:after="0"/>
              <w:rPr>
                <w:sz w:val="1"/>
                <w:szCs w:val="1"/>
                <w:color w:val="auto"/>
              </w:rPr>
            </w:pPr>
          </w:p>
        </w:tc>
      </w:tr>
      <w:tr>
        <w:trPr>
          <w:trHeight w:val="164"/>
        </w:trPr>
        <w:tc>
          <w:tcPr>
            <w:tcW w:w="6680" w:type="dxa"/>
            <w:vAlign w:val="bottom"/>
          </w:tcPr>
          <w:p>
            <w:pPr>
              <w:ind w:left="60"/>
              <w:spacing w:after="0" w:line="157" w:lineRule="exact"/>
              <w:rPr>
                <w:sz w:val="20"/>
                <w:szCs w:val="20"/>
                <w:color w:val="auto"/>
              </w:rPr>
            </w:pPr>
            <w:r>
              <w:rPr>
                <w:rFonts w:ascii="Calibri" w:cs="Calibri" w:eastAsia="Calibri" w:hAnsi="Calibri"/>
                <w:sz w:val="13"/>
                <w:szCs w:val="13"/>
                <w:color w:val="auto"/>
              </w:rPr>
              <w:t>Income tax expense</w:t>
            </w:r>
          </w:p>
        </w:tc>
        <w:tc>
          <w:tcPr>
            <w:tcW w:w="120" w:type="dxa"/>
            <w:vAlign w:val="bottom"/>
          </w:tcPr>
          <w:p>
            <w:pPr>
              <w:spacing w:after="0"/>
              <w:rPr>
                <w:sz w:val="14"/>
                <w:szCs w:val="14"/>
                <w:color w:val="auto"/>
              </w:rPr>
            </w:pPr>
          </w:p>
        </w:tc>
        <w:tc>
          <w:tcPr>
            <w:tcW w:w="1360" w:type="dxa"/>
            <w:vAlign w:val="bottom"/>
          </w:tcPr>
          <w:p>
            <w:pPr>
              <w:jc w:val="right"/>
              <w:spacing w:after="0" w:line="157" w:lineRule="exact"/>
              <w:rPr>
                <w:sz w:val="20"/>
                <w:szCs w:val="20"/>
                <w:color w:val="auto"/>
              </w:rPr>
            </w:pPr>
            <w:r>
              <w:rPr>
                <w:rFonts w:ascii="Calibri" w:cs="Calibri" w:eastAsia="Calibri" w:hAnsi="Calibri"/>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140"/>
              <w:spacing w:after="0" w:line="157" w:lineRule="exact"/>
              <w:rPr>
                <w:sz w:val="20"/>
                <w:szCs w:val="20"/>
                <w:color w:val="auto"/>
              </w:rPr>
            </w:pPr>
            <w:r>
              <w:rPr>
                <w:rFonts w:ascii="Calibri" w:cs="Calibri" w:eastAsia="Calibri" w:hAnsi="Calibri"/>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line="157" w:lineRule="exact"/>
              <w:rPr>
                <w:sz w:val="20"/>
                <w:szCs w:val="20"/>
                <w:color w:val="auto"/>
              </w:rPr>
            </w:pPr>
            <w:r>
              <w:rPr>
                <w:rFonts w:ascii="Calibri" w:cs="Calibri" w:eastAsia="Calibri" w:hAnsi="Calibri"/>
                <w:sz w:val="13"/>
                <w:szCs w:val="13"/>
                <w:color w:val="auto"/>
              </w:rPr>
              <w:t>12</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Stock-based compensaton expense</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1,482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1,832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6,157</w:t>
            </w:r>
          </w:p>
        </w:tc>
        <w:tc>
          <w:tcPr>
            <w:tcW w:w="0" w:type="dxa"/>
            <w:vAlign w:val="bottom"/>
          </w:tcPr>
          <w:p>
            <w:pPr>
              <w:spacing w:after="0"/>
              <w:rPr>
                <w:sz w:val="1"/>
                <w:szCs w:val="1"/>
                <w:color w:val="auto"/>
              </w:rPr>
            </w:pPr>
          </w:p>
        </w:tc>
      </w:tr>
      <w:tr>
        <w:trPr>
          <w:trHeight w:val="164"/>
        </w:trPr>
        <w:tc>
          <w:tcPr>
            <w:tcW w:w="6680" w:type="dxa"/>
            <w:vAlign w:val="bottom"/>
          </w:tcPr>
          <w:p>
            <w:pPr>
              <w:ind w:left="60"/>
              <w:spacing w:after="0" w:line="157" w:lineRule="exact"/>
              <w:rPr>
                <w:sz w:val="20"/>
                <w:szCs w:val="20"/>
                <w:color w:val="auto"/>
              </w:rPr>
            </w:pPr>
            <w:r>
              <w:rPr>
                <w:rFonts w:ascii="Calibri" w:cs="Calibri" w:eastAsia="Calibri" w:hAnsi="Calibri"/>
                <w:sz w:val="13"/>
                <w:szCs w:val="13"/>
                <w:color w:val="auto"/>
              </w:rPr>
              <w:t>Restatement related costs</w:t>
            </w:r>
          </w:p>
        </w:tc>
        <w:tc>
          <w:tcPr>
            <w:tcW w:w="120" w:type="dxa"/>
            <w:vAlign w:val="bottom"/>
          </w:tcPr>
          <w:p>
            <w:pPr>
              <w:spacing w:after="0"/>
              <w:rPr>
                <w:sz w:val="14"/>
                <w:szCs w:val="14"/>
                <w:color w:val="auto"/>
              </w:rPr>
            </w:pPr>
          </w:p>
        </w:tc>
        <w:tc>
          <w:tcPr>
            <w:tcW w:w="1360" w:type="dxa"/>
            <w:vAlign w:val="bottom"/>
          </w:tcPr>
          <w:p>
            <w:pPr>
              <w:jc w:val="right"/>
              <w:spacing w:after="0" w:line="157" w:lineRule="exact"/>
              <w:rPr>
                <w:sz w:val="20"/>
                <w:szCs w:val="20"/>
                <w:color w:val="auto"/>
              </w:rPr>
            </w:pPr>
            <w:r>
              <w:rPr>
                <w:rFonts w:ascii="Calibri" w:cs="Calibri" w:eastAsia="Calibri" w:hAnsi="Calibri"/>
                <w:sz w:val="13"/>
                <w:szCs w:val="13"/>
                <w:color w:val="auto"/>
              </w:rPr>
              <w:t>7,457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line="157" w:lineRule="exact"/>
              <w:rPr>
                <w:sz w:val="20"/>
                <w:szCs w:val="20"/>
                <w:color w:val="auto"/>
              </w:rPr>
            </w:pPr>
            <w:r>
              <w:rPr>
                <w:rFonts w:ascii="Calibri" w:cs="Calibri" w:eastAsia="Calibri" w:hAnsi="Calibri"/>
                <w:sz w:val="13"/>
                <w:szCs w:val="13"/>
                <w:color w:val="auto"/>
              </w:rPr>
              <w:t>2,897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line="157" w:lineRule="exact"/>
              <w:rPr>
                <w:sz w:val="20"/>
                <w:szCs w:val="20"/>
                <w:color w:val="auto"/>
              </w:rPr>
            </w:pPr>
            <w:r>
              <w:rPr>
                <w:rFonts w:ascii="Calibri" w:cs="Calibri" w:eastAsia="Calibri" w:hAnsi="Calibri"/>
                <w:sz w:val="13"/>
                <w:szCs w:val="13"/>
                <w:color w:val="auto"/>
              </w:rPr>
              <w:t>31,054</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ind w:left="60"/>
              <w:spacing w:after="0"/>
              <w:rPr>
                <w:sz w:val="20"/>
                <w:szCs w:val="20"/>
                <w:color w:val="auto"/>
              </w:rPr>
            </w:pPr>
            <w:r>
              <w:rPr>
                <w:rFonts w:ascii="Calibri" w:cs="Calibri" w:eastAsia="Calibri" w:hAnsi="Calibri"/>
                <w:sz w:val="13"/>
                <w:szCs w:val="13"/>
                <w:color w:val="auto"/>
              </w:rPr>
              <w:t>Change in fair value of warrants and interest rate collar</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(12,160)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(330)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10,443</w:t>
            </w:r>
          </w:p>
        </w:tc>
        <w:tc>
          <w:tcPr>
            <w:tcW w:w="0" w:type="dxa"/>
            <w:vAlign w:val="bottom"/>
          </w:tcPr>
          <w:p>
            <w:pPr>
              <w:spacing w:after="0"/>
              <w:rPr>
                <w:sz w:val="1"/>
                <w:szCs w:val="1"/>
                <w:color w:val="auto"/>
              </w:rPr>
            </w:pPr>
          </w:p>
        </w:tc>
      </w:tr>
      <w:tr>
        <w:trPr>
          <w:trHeight w:val="164"/>
        </w:trPr>
        <w:tc>
          <w:tcPr>
            <w:tcW w:w="6680" w:type="dxa"/>
            <w:vAlign w:val="bottom"/>
          </w:tcPr>
          <w:p>
            <w:pPr>
              <w:ind w:left="60"/>
              <w:spacing w:after="0" w:line="157" w:lineRule="exact"/>
              <w:rPr>
                <w:sz w:val="20"/>
                <w:szCs w:val="20"/>
                <w:color w:val="auto"/>
              </w:rPr>
            </w:pPr>
            <w:r>
              <w:rPr>
                <w:rFonts w:ascii="Calibri" w:cs="Calibri" w:eastAsia="Calibri" w:hAnsi="Calibri"/>
                <w:sz w:val="13"/>
                <w:szCs w:val="13"/>
                <w:color w:val="auto"/>
              </w:rPr>
              <w:t>Other non-recurring costs</w:t>
            </w:r>
          </w:p>
        </w:tc>
        <w:tc>
          <w:tcPr>
            <w:tcW w:w="120" w:type="dxa"/>
            <w:vAlign w:val="bottom"/>
          </w:tcPr>
          <w:p>
            <w:pPr>
              <w:spacing w:after="0"/>
              <w:rPr>
                <w:sz w:val="14"/>
                <w:szCs w:val="14"/>
                <w:color w:val="auto"/>
              </w:rPr>
            </w:pPr>
          </w:p>
        </w:tc>
        <w:tc>
          <w:tcPr>
            <w:tcW w:w="1360" w:type="dxa"/>
            <w:vAlign w:val="bottom"/>
          </w:tcPr>
          <w:p>
            <w:pPr>
              <w:jc w:val="right"/>
              <w:spacing w:after="0" w:line="157" w:lineRule="exact"/>
              <w:rPr>
                <w:sz w:val="20"/>
                <w:szCs w:val="20"/>
                <w:color w:val="auto"/>
              </w:rPr>
            </w:pPr>
            <w:r>
              <w:rPr>
                <w:rFonts w:ascii="Calibri" w:cs="Calibri" w:eastAsia="Calibri" w:hAnsi="Calibri"/>
                <w:sz w:val="13"/>
                <w:szCs w:val="13"/>
                <w:color w:val="auto"/>
              </w:rPr>
              <w:t>112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140"/>
              <w:spacing w:after="0" w:line="157" w:lineRule="exact"/>
              <w:rPr>
                <w:sz w:val="20"/>
                <w:szCs w:val="20"/>
                <w:color w:val="auto"/>
              </w:rPr>
            </w:pPr>
            <w:r>
              <w:rPr>
                <w:rFonts w:ascii="Calibri" w:cs="Calibri" w:eastAsia="Calibri" w:hAnsi="Calibri"/>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spacing w:after="0" w:line="157" w:lineRule="exact"/>
              <w:rPr>
                <w:sz w:val="20"/>
                <w:szCs w:val="20"/>
                <w:color w:val="auto"/>
              </w:rPr>
            </w:pPr>
            <w:r>
              <w:rPr>
                <w:rFonts w:ascii="Calibri" w:cs="Calibri" w:eastAsia="Calibri" w:hAnsi="Calibri"/>
                <w:sz w:val="13"/>
                <w:szCs w:val="13"/>
                <w:color w:val="auto"/>
              </w:rPr>
              <w:t>(44)</w:t>
            </w:r>
          </w:p>
        </w:tc>
        <w:tc>
          <w:tcPr>
            <w:tcW w:w="0" w:type="dxa"/>
            <w:vAlign w:val="bottom"/>
          </w:tcPr>
          <w:p>
            <w:pPr>
              <w:spacing w:after="0"/>
              <w:rPr>
                <w:sz w:val="1"/>
                <w:szCs w:val="1"/>
                <w:color w:val="auto"/>
              </w:rPr>
            </w:pPr>
          </w:p>
        </w:tc>
      </w:tr>
      <w:tr>
        <w:trPr>
          <w:trHeight w:val="167"/>
        </w:trPr>
        <w:tc>
          <w:tcPr>
            <w:tcW w:w="6680" w:type="dxa"/>
            <w:vAlign w:val="bottom"/>
            <w:tcBorders>
              <w:top w:val="single" w:sz="8" w:color="CCEEFF"/>
            </w:tcBorders>
            <w:shd w:val="clear" w:color="auto" w:fill="CCEEFF"/>
          </w:tcPr>
          <w:p>
            <w:pPr>
              <w:spacing w:after="0" w:line="144" w:lineRule="exact"/>
              <w:rPr>
                <w:sz w:val="20"/>
                <w:szCs w:val="20"/>
                <w:color w:val="auto"/>
              </w:rPr>
            </w:pPr>
            <w:r>
              <w:rPr>
                <w:rFonts w:ascii="Calibri" w:cs="Calibri" w:eastAsia="Calibri" w:hAnsi="Calibri"/>
                <w:sz w:val="13"/>
                <w:szCs w:val="13"/>
                <w:b w:val="1"/>
                <w:bCs w:val="1"/>
                <w:color w:val="auto"/>
              </w:rPr>
              <w:t>Adjusted EBITDA</w:t>
            </w:r>
          </w:p>
        </w:tc>
        <w:tc>
          <w:tcPr>
            <w:tcW w:w="120" w:type="dxa"/>
            <w:vAlign w:val="bottom"/>
            <w:tcBorders>
              <w:top w:val="single" w:sz="8" w:color="auto"/>
            </w:tcBorders>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360" w:type="dxa"/>
            <w:vAlign w:val="bottom"/>
            <w:tcBorders>
              <w:top w:val="single" w:sz="8" w:color="auto"/>
            </w:tcBorders>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(5,419)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360" w:type="dxa"/>
            <w:vAlign w:val="bottom"/>
            <w:tcBorders>
              <w:top w:val="single" w:sz="8" w:color="auto"/>
            </w:tcBorders>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(4,265)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line="157" w:lineRule="exact"/>
              <w:rPr>
                <w:sz w:val="20"/>
                <w:szCs w:val="20"/>
                <w:color w:val="auto"/>
              </w:rPr>
            </w:pPr>
            <w:r>
              <w:rPr>
                <w:rFonts w:ascii="Calibri" w:cs="Calibri" w:eastAsia="Calibri" w:hAnsi="Calibri"/>
                <w:sz w:val="13"/>
                <w:szCs w:val="13"/>
                <w:color w:val="auto"/>
              </w:rPr>
              <w:t>$</w:t>
            </w:r>
          </w:p>
        </w:tc>
        <w:tc>
          <w:tcPr>
            <w:tcW w:w="1140" w:type="dxa"/>
            <w:vAlign w:val="bottom"/>
            <w:tcBorders>
              <w:top w:val="single" w:sz="8" w:color="auto"/>
            </w:tcBorders>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(14,823)</w:t>
            </w:r>
          </w:p>
        </w:tc>
        <w:tc>
          <w:tcPr>
            <w:tcW w:w="0" w:type="dxa"/>
            <w:vAlign w:val="bottom"/>
          </w:tcPr>
          <w:p>
            <w:pPr>
              <w:spacing w:after="0"/>
              <w:rPr>
                <w:sz w:val="1"/>
                <w:szCs w:val="1"/>
                <w:color w:val="auto"/>
              </w:rPr>
            </w:pPr>
          </w:p>
        </w:tc>
      </w:tr>
      <w:tr>
        <w:trPr>
          <w:trHeight w:val="164"/>
        </w:trPr>
        <w:tc>
          <w:tcPr>
            <w:tcW w:w="6680" w:type="dxa"/>
            <w:vAlign w:val="bottom"/>
          </w:tcPr>
          <w:p>
            <w:pPr>
              <w:spacing w:after="0" w:line="157" w:lineRule="exact"/>
              <w:rPr>
                <w:sz w:val="20"/>
                <w:szCs w:val="20"/>
                <w:color w:val="auto"/>
              </w:rPr>
            </w:pPr>
            <w:r>
              <w:rPr>
                <w:rFonts w:ascii="Calibri" w:cs="Calibri" w:eastAsia="Calibri" w:hAnsi="Calibri"/>
                <w:sz w:val="13"/>
                <w:szCs w:val="13"/>
                <w:b w:val="1"/>
                <w:bCs w:val="1"/>
                <w:color w:val="auto"/>
              </w:rPr>
              <w:t>Net Revenue</w:t>
            </w:r>
          </w:p>
        </w:tc>
        <w:tc>
          <w:tcPr>
            <w:tcW w:w="12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40" w:type="dxa"/>
            <w:vAlign w:val="bottom"/>
            <w:gridSpan w:val="2"/>
          </w:tcPr>
          <w:p>
            <w:pPr>
              <w:jc w:val="right"/>
              <w:ind w:right="120"/>
              <w:spacing w:after="0" w:line="157" w:lineRule="exact"/>
              <w:rPr>
                <w:sz w:val="20"/>
                <w:szCs w:val="20"/>
                <w:color w:val="auto"/>
              </w:rPr>
            </w:pPr>
            <w:r>
              <w:rPr>
                <w:rFonts w:ascii="Calibri" w:cs="Calibri" w:eastAsia="Calibri" w:hAnsi="Calibri"/>
                <w:sz w:val="13"/>
                <w:szCs w:val="13"/>
                <w:color w:val="auto"/>
              </w:rPr>
              <w:t>—</w:t>
            </w:r>
          </w:p>
        </w:tc>
        <w:tc>
          <w:tcPr>
            <w:tcW w:w="12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60" w:type="dxa"/>
            <w:vAlign w:val="bottom"/>
            <w:gridSpan w:val="2"/>
          </w:tcPr>
          <w:p>
            <w:pPr>
              <w:jc w:val="right"/>
              <w:ind w:right="140"/>
              <w:spacing w:after="0" w:line="157" w:lineRule="exact"/>
              <w:rPr>
                <w:sz w:val="20"/>
                <w:szCs w:val="20"/>
                <w:color w:val="auto"/>
              </w:rPr>
            </w:pPr>
            <w:r>
              <w:rPr>
                <w:rFonts w:ascii="Calibri" w:cs="Calibri" w:eastAsia="Calibri" w:hAnsi="Calibri"/>
                <w:sz w:val="13"/>
                <w:szCs w:val="13"/>
                <w:color w:val="auto"/>
              </w:rPr>
              <w:t>—</w:t>
            </w:r>
          </w:p>
        </w:tc>
        <w:tc>
          <w:tcPr>
            <w:tcW w:w="340" w:type="dxa"/>
            <w:vAlign w:val="bottom"/>
          </w:tcPr>
          <w:p>
            <w:pPr>
              <w:spacing w:after="0" w:line="157" w:lineRule="exact"/>
              <w:rPr>
                <w:sz w:val="20"/>
                <w:szCs w:val="20"/>
                <w:color w:val="auto"/>
              </w:rPr>
            </w:pPr>
            <w:r>
              <w:rPr>
                <w:rFonts w:ascii="Calibri" w:cs="Calibri" w:eastAsia="Calibri" w:hAnsi="Calibri"/>
                <w:sz w:val="13"/>
                <w:szCs w:val="13"/>
                <w:color w:val="auto"/>
              </w:rPr>
              <w:t>$</w:t>
            </w:r>
          </w:p>
        </w:tc>
        <w:tc>
          <w:tcPr>
            <w:tcW w:w="1140" w:type="dxa"/>
            <w:vAlign w:val="bottom"/>
          </w:tcPr>
          <w:p>
            <w:pPr>
              <w:jc w:val="right"/>
              <w:spacing w:after="0" w:line="157"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spacing w:after="0"/>
              <w:rPr>
                <w:sz w:val="20"/>
                <w:szCs w:val="20"/>
                <w:color w:val="auto"/>
              </w:rPr>
            </w:pPr>
            <w:r>
              <w:rPr>
                <w:rFonts w:ascii="Calibri" w:cs="Calibri" w:eastAsia="Calibri" w:hAnsi="Calibri"/>
                <w:sz w:val="13"/>
                <w:szCs w:val="13"/>
                <w:b w:val="1"/>
                <w:bCs w:val="1"/>
                <w:color w:val="auto"/>
              </w:rPr>
              <w:t>Net Loss % of Net Revenue</w:t>
            </w: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1140"/>
              <w:spacing w:after="0"/>
              <w:rPr>
                <w:sz w:val="20"/>
                <w:szCs w:val="20"/>
                <w:color w:val="auto"/>
              </w:rPr>
            </w:pPr>
            <w:r>
              <w:rPr>
                <w:rFonts w:ascii="Calibri" w:cs="Calibri" w:eastAsia="Calibri" w:hAnsi="Calibri"/>
                <w:sz w:val="13"/>
                <w:szCs w:val="13"/>
                <w:color w:val="auto"/>
              </w:rPr>
              <w:t>N/A</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1140"/>
              <w:spacing w:after="0"/>
              <w:rPr>
                <w:sz w:val="20"/>
                <w:szCs w:val="20"/>
                <w:color w:val="auto"/>
              </w:rPr>
            </w:pPr>
            <w:r>
              <w:rPr>
                <w:rFonts w:ascii="Calibri" w:cs="Calibri" w:eastAsia="Calibri" w:hAnsi="Calibri"/>
                <w:sz w:val="13"/>
                <w:szCs w:val="13"/>
                <w:color w:val="auto"/>
              </w:rPr>
              <w:t>N/A</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N/A</w:t>
            </w:r>
          </w:p>
        </w:tc>
        <w:tc>
          <w:tcPr>
            <w:tcW w:w="0" w:type="dxa"/>
            <w:vAlign w:val="bottom"/>
          </w:tcPr>
          <w:p>
            <w:pPr>
              <w:spacing w:after="0"/>
              <w:rPr>
                <w:sz w:val="1"/>
                <w:szCs w:val="1"/>
                <w:color w:val="auto"/>
              </w:rPr>
            </w:pPr>
          </w:p>
        </w:tc>
      </w:tr>
      <w:tr>
        <w:trPr>
          <w:trHeight w:val="157"/>
        </w:trPr>
        <w:tc>
          <w:tcPr>
            <w:tcW w:w="6680" w:type="dxa"/>
            <w:vAlign w:val="bottom"/>
          </w:tcPr>
          <w:p>
            <w:pPr>
              <w:spacing w:after="0" w:line="157" w:lineRule="exact"/>
              <w:rPr>
                <w:sz w:val="20"/>
                <w:szCs w:val="20"/>
                <w:color w:val="auto"/>
              </w:rPr>
            </w:pPr>
            <w:r>
              <w:rPr>
                <w:rFonts w:ascii="Calibri" w:cs="Calibri" w:eastAsia="Calibri" w:hAnsi="Calibri"/>
                <w:sz w:val="13"/>
                <w:szCs w:val="13"/>
                <w:b w:val="1"/>
                <w:bCs w:val="1"/>
                <w:color w:val="auto"/>
              </w:rPr>
              <w:t>Adjusted EBITDA Margin</w:t>
            </w:r>
          </w:p>
        </w:tc>
        <w:tc>
          <w:tcPr>
            <w:tcW w:w="120" w:type="dxa"/>
            <w:vAlign w:val="bottom"/>
          </w:tcPr>
          <w:p>
            <w:pPr>
              <w:spacing w:after="0"/>
              <w:rPr>
                <w:sz w:val="13"/>
                <w:szCs w:val="13"/>
                <w:color w:val="auto"/>
              </w:rPr>
            </w:pPr>
          </w:p>
        </w:tc>
        <w:tc>
          <w:tcPr>
            <w:tcW w:w="1440" w:type="dxa"/>
            <w:vAlign w:val="bottom"/>
            <w:gridSpan w:val="2"/>
          </w:tcPr>
          <w:p>
            <w:pPr>
              <w:ind w:left="1140"/>
              <w:spacing w:after="0" w:line="157" w:lineRule="exact"/>
              <w:rPr>
                <w:sz w:val="20"/>
                <w:szCs w:val="20"/>
                <w:color w:val="auto"/>
              </w:rPr>
            </w:pPr>
            <w:r>
              <w:rPr>
                <w:rFonts w:ascii="Calibri" w:cs="Calibri" w:eastAsia="Calibri" w:hAnsi="Calibri"/>
                <w:sz w:val="13"/>
                <w:szCs w:val="13"/>
                <w:color w:val="auto"/>
              </w:rPr>
              <w:t>N/A</w:t>
            </w:r>
          </w:p>
        </w:tc>
        <w:tc>
          <w:tcPr>
            <w:tcW w:w="120" w:type="dxa"/>
            <w:vAlign w:val="bottom"/>
          </w:tcPr>
          <w:p>
            <w:pPr>
              <w:spacing w:after="0"/>
              <w:rPr>
                <w:sz w:val="13"/>
                <w:szCs w:val="13"/>
                <w:color w:val="auto"/>
              </w:rPr>
            </w:pPr>
          </w:p>
        </w:tc>
        <w:tc>
          <w:tcPr>
            <w:tcW w:w="1460" w:type="dxa"/>
            <w:vAlign w:val="bottom"/>
            <w:gridSpan w:val="2"/>
          </w:tcPr>
          <w:p>
            <w:pPr>
              <w:ind w:left="1140"/>
              <w:spacing w:after="0" w:line="157" w:lineRule="exact"/>
              <w:rPr>
                <w:sz w:val="20"/>
                <w:szCs w:val="20"/>
                <w:color w:val="auto"/>
              </w:rPr>
            </w:pPr>
            <w:r>
              <w:rPr>
                <w:rFonts w:ascii="Calibri" w:cs="Calibri" w:eastAsia="Calibri" w:hAnsi="Calibri"/>
                <w:sz w:val="13"/>
                <w:szCs w:val="13"/>
                <w:color w:val="auto"/>
              </w:rPr>
              <w:t>N/A</w:t>
            </w:r>
          </w:p>
        </w:tc>
        <w:tc>
          <w:tcPr>
            <w:tcW w:w="34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Calibri" w:cs="Calibri" w:eastAsia="Calibri" w:hAnsi="Calibri"/>
                <w:sz w:val="13"/>
                <w:szCs w:val="13"/>
                <w:color w:val="auto"/>
              </w:rPr>
              <w:t>N/A</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8"/>
        <w:spacing w:after="0"/>
        <w:rPr>
          <w:sz w:val="20"/>
          <w:szCs w:val="20"/>
          <w:color w:val="auto"/>
        </w:rPr>
      </w:pPr>
      <w:r>
        <w:rPr>
          <w:rFonts w:ascii="Calibri" w:cs="Calibri" w:eastAsia="Calibri" w:hAnsi="Calibri"/>
          <w:sz w:val="14"/>
          <w:szCs w:val="14"/>
          <w:b w:val="1"/>
          <w:bCs w:val="1"/>
          <w:u w:val="single" w:color="auto"/>
          <w:color w:val="auto"/>
        </w:rPr>
        <w:t>Adjusted Gross Proft</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2"/>
          </w:tcPr>
          <w:p>
            <w:pPr>
              <w:jc w:val="center"/>
              <w:ind w:right="220"/>
              <w:spacing w:after="0"/>
              <w:rPr>
                <w:sz w:val="20"/>
                <w:szCs w:val="20"/>
                <w:color w:val="auto"/>
              </w:rPr>
            </w:pPr>
            <w:r>
              <w:rPr>
                <w:rFonts w:ascii="Calibri" w:cs="Calibri" w:eastAsia="Calibri" w:hAnsi="Calibri"/>
                <w:sz w:val="13"/>
                <w:szCs w:val="13"/>
                <w:b w:val="1"/>
                <w:bCs w:val="1"/>
                <w:color w:val="auto"/>
              </w:rPr>
              <w:t>Group</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380" w:type="dxa"/>
            <w:vAlign w:val="bottom"/>
            <w:gridSpan w:val="2"/>
            <w:vMerge w:val="restart"/>
          </w:tcPr>
          <w:p>
            <w:pPr>
              <w:spacing w:after="0"/>
              <w:rPr>
                <w:sz w:val="20"/>
                <w:szCs w:val="20"/>
                <w:color w:val="auto"/>
              </w:rPr>
            </w:pPr>
            <w:r>
              <w:rPr>
                <w:rFonts w:ascii="Calibri" w:cs="Calibri" w:eastAsia="Calibri" w:hAnsi="Calibri"/>
                <w:sz w:val="13"/>
                <w:szCs w:val="13"/>
                <w:i w:val="1"/>
                <w:iCs w:val="1"/>
                <w:color w:val="auto"/>
              </w:rPr>
              <w:t>(In thousands except for percentages)</w:t>
            </w:r>
          </w:p>
        </w:tc>
        <w:tc>
          <w:tcPr>
            <w:tcW w:w="120" w:type="dxa"/>
            <w:vAlign w:val="bottom"/>
          </w:tcPr>
          <w:p>
            <w:pPr>
              <w:spacing w:after="0"/>
              <w:rPr>
                <w:sz w:val="9"/>
                <w:szCs w:val="9"/>
                <w:color w:val="auto"/>
              </w:rPr>
            </w:pPr>
          </w:p>
        </w:tc>
        <w:tc>
          <w:tcPr>
            <w:tcW w:w="1480" w:type="dxa"/>
            <w:vAlign w:val="bottom"/>
            <w:gridSpan w:val="2"/>
          </w:tcPr>
          <w:p>
            <w:pPr>
              <w:jc w:val="center"/>
              <w:ind w:right="200"/>
              <w:spacing w:after="0" w:line="114" w:lineRule="exact"/>
              <w:rPr>
                <w:sz w:val="20"/>
                <w:szCs w:val="20"/>
                <w:color w:val="auto"/>
              </w:rPr>
            </w:pPr>
            <w:r>
              <w:rPr>
                <w:rFonts w:ascii="Calibri" w:cs="Calibri" w:eastAsia="Calibri" w:hAnsi="Calibri"/>
                <w:sz w:val="12"/>
                <w:szCs w:val="12"/>
                <w:b w:val="1"/>
                <w:bCs w:val="1"/>
                <w:color w:val="auto"/>
              </w:rPr>
              <w:t>Three Months Ended</w:t>
            </w:r>
          </w:p>
        </w:tc>
        <w:tc>
          <w:tcPr>
            <w:tcW w:w="140" w:type="dxa"/>
            <w:vAlign w:val="bottom"/>
          </w:tcPr>
          <w:p>
            <w:pPr>
              <w:spacing w:after="0"/>
              <w:rPr>
                <w:sz w:val="9"/>
                <w:szCs w:val="9"/>
                <w:color w:val="auto"/>
              </w:rPr>
            </w:pPr>
          </w:p>
        </w:tc>
        <w:tc>
          <w:tcPr>
            <w:tcW w:w="1480" w:type="dxa"/>
            <w:vAlign w:val="bottom"/>
            <w:gridSpan w:val="2"/>
          </w:tcPr>
          <w:p>
            <w:pPr>
              <w:jc w:val="center"/>
              <w:ind w:right="220"/>
              <w:spacing w:after="0" w:line="114" w:lineRule="exact"/>
              <w:rPr>
                <w:sz w:val="20"/>
                <w:szCs w:val="20"/>
                <w:color w:val="auto"/>
              </w:rPr>
            </w:pPr>
            <w:r>
              <w:rPr>
                <w:rFonts w:ascii="Calibri" w:cs="Calibri" w:eastAsia="Calibri" w:hAnsi="Calibri"/>
                <w:sz w:val="12"/>
                <w:szCs w:val="12"/>
                <w:b w:val="1"/>
                <w:bCs w:val="1"/>
                <w:color w:val="auto"/>
              </w:rPr>
              <w:t>Three Months Ended</w:t>
            </w:r>
          </w:p>
        </w:tc>
        <w:tc>
          <w:tcPr>
            <w:tcW w:w="1540" w:type="dxa"/>
            <w:vAlign w:val="bottom"/>
            <w:gridSpan w:val="2"/>
          </w:tcPr>
          <w:p>
            <w:pPr>
              <w:jc w:val="right"/>
              <w:spacing w:after="0" w:line="114" w:lineRule="exact"/>
              <w:rPr>
                <w:sz w:val="20"/>
                <w:szCs w:val="20"/>
                <w:color w:val="auto"/>
              </w:rPr>
            </w:pPr>
            <w:r>
              <w:rPr>
                <w:rFonts w:ascii="Calibri" w:cs="Calibri" w:eastAsia="Calibri" w:hAnsi="Calibri"/>
                <w:sz w:val="12"/>
                <w:szCs w:val="12"/>
                <w:b w:val="1"/>
                <w:bCs w:val="1"/>
                <w:color w:val="auto"/>
              </w:rPr>
              <w:t>Year Ended December 31,</w:t>
            </w:r>
          </w:p>
        </w:tc>
        <w:tc>
          <w:tcPr>
            <w:tcW w:w="0" w:type="dxa"/>
            <w:vAlign w:val="bottom"/>
          </w:tcPr>
          <w:p>
            <w:pPr>
              <w:spacing w:after="0"/>
              <w:rPr>
                <w:sz w:val="1"/>
                <w:szCs w:val="1"/>
                <w:color w:val="auto"/>
              </w:rPr>
            </w:pPr>
          </w:p>
        </w:tc>
      </w:tr>
      <w:tr>
        <w:trPr>
          <w:trHeight w:val="157"/>
        </w:trPr>
        <w:tc>
          <w:tcPr>
            <w:tcW w:w="63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20"/>
              <w:spacing w:after="0" w:line="157" w:lineRule="exact"/>
              <w:rPr>
                <w:sz w:val="20"/>
                <w:szCs w:val="20"/>
                <w:color w:val="auto"/>
              </w:rPr>
            </w:pPr>
            <w:r>
              <w:rPr>
                <w:rFonts w:ascii="Calibri" w:cs="Calibri" w:eastAsia="Calibri" w:hAnsi="Calibri"/>
                <w:sz w:val="13"/>
                <w:szCs w:val="13"/>
                <w:b w:val="1"/>
                <w:bCs w:val="1"/>
                <w:color w:val="auto"/>
              </w:rPr>
              <w:t>March 31, 2024</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line="157" w:lineRule="exact"/>
              <w:rPr>
                <w:sz w:val="20"/>
                <w:szCs w:val="20"/>
                <w:color w:val="auto"/>
              </w:rPr>
            </w:pPr>
            <w:r>
              <w:rPr>
                <w:rFonts w:ascii="Calibri" w:cs="Calibri" w:eastAsia="Calibri" w:hAnsi="Calibri"/>
                <w:sz w:val="13"/>
                <w:szCs w:val="13"/>
                <w:b w:val="1"/>
                <w:bCs w:val="1"/>
                <w:color w:val="auto"/>
              </w:rPr>
              <w:t>March 31, 2023</w:t>
            </w:r>
          </w:p>
        </w:tc>
        <w:tc>
          <w:tcPr>
            <w:tcW w:w="360" w:type="dxa"/>
            <w:vAlign w:val="bottom"/>
          </w:tcPr>
          <w:p>
            <w:pPr>
              <w:spacing w:after="0"/>
              <w:rPr>
                <w:sz w:val="13"/>
                <w:szCs w:val="13"/>
                <w:color w:val="auto"/>
              </w:rPr>
            </w:pPr>
          </w:p>
        </w:tc>
        <w:tc>
          <w:tcPr>
            <w:tcW w:w="1180" w:type="dxa"/>
            <w:vAlign w:val="bottom"/>
          </w:tcPr>
          <w:p>
            <w:pPr>
              <w:jc w:val="right"/>
              <w:ind w:right="574"/>
              <w:spacing w:after="0" w:line="157" w:lineRule="exact"/>
              <w:rPr>
                <w:sz w:val="20"/>
                <w:szCs w:val="20"/>
                <w:color w:val="auto"/>
              </w:rPr>
            </w:pPr>
            <w:r>
              <w:rPr>
                <w:rFonts w:ascii="Calibri" w:cs="Calibri" w:eastAsia="Calibri" w:hAnsi="Calibri"/>
                <w:sz w:val="13"/>
                <w:szCs w:val="13"/>
                <w:b w:val="1"/>
                <w:bCs w:val="1"/>
                <w:color w:val="auto"/>
              </w:rPr>
              <w:t>2023</w:t>
            </w:r>
          </w:p>
        </w:tc>
        <w:tc>
          <w:tcPr>
            <w:tcW w:w="0" w:type="dxa"/>
            <w:vAlign w:val="bottom"/>
          </w:tcPr>
          <w:p>
            <w:pPr>
              <w:spacing w:after="0"/>
              <w:rPr>
                <w:sz w:val="1"/>
                <w:szCs w:val="1"/>
                <w:color w:val="auto"/>
              </w:rPr>
            </w:pPr>
          </w:p>
        </w:tc>
      </w:tr>
      <w:tr>
        <w:trPr>
          <w:trHeight w:val="22"/>
        </w:trPr>
        <w:tc>
          <w:tcPr>
            <w:tcW w:w="6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CEEFF"/>
          </w:tcPr>
          <w:p>
            <w:pPr>
              <w:spacing w:after="0" w:line="157" w:lineRule="exact"/>
              <w:rPr>
                <w:sz w:val="20"/>
                <w:szCs w:val="20"/>
                <w:color w:val="auto"/>
              </w:rPr>
            </w:pPr>
            <w:r>
              <w:rPr>
                <w:rFonts w:ascii="Calibri" w:cs="Calibri" w:eastAsia="Calibri" w:hAnsi="Calibri"/>
                <w:sz w:val="13"/>
                <w:szCs w:val="13"/>
                <w:color w:val="auto"/>
              </w:rPr>
              <w:t>Net Revenue</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00" w:type="dxa"/>
            <w:vAlign w:val="bottom"/>
            <w:shd w:val="clear" w:color="auto" w:fill="CCEEFF"/>
          </w:tcPr>
          <w:p>
            <w:pPr>
              <w:jc w:val="right"/>
              <w:ind w:right="75"/>
              <w:spacing w:after="0" w:line="157" w:lineRule="exact"/>
              <w:rPr>
                <w:sz w:val="20"/>
                <w:szCs w:val="20"/>
                <w:color w:val="auto"/>
              </w:rPr>
            </w:pPr>
            <w:r>
              <w:rPr>
                <w:rFonts w:ascii="Calibri" w:cs="Calibri" w:eastAsia="Calibri" w:hAnsi="Calibri"/>
                <w:sz w:val="13"/>
                <w:szCs w:val="13"/>
                <w:color w:val="auto"/>
              </w:rPr>
              <w:t>68,271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00" w:type="dxa"/>
            <w:vAlign w:val="bottom"/>
            <w:shd w:val="clear" w:color="auto" w:fill="CCEEFF"/>
          </w:tcPr>
          <w:p>
            <w:pPr>
              <w:jc w:val="right"/>
              <w:ind w:right="95"/>
              <w:spacing w:after="0" w:line="157" w:lineRule="exact"/>
              <w:rPr>
                <w:sz w:val="20"/>
                <w:szCs w:val="20"/>
                <w:color w:val="auto"/>
              </w:rPr>
            </w:pPr>
            <w:r>
              <w:rPr>
                <w:rFonts w:ascii="Calibri" w:cs="Calibri" w:eastAsia="Calibri" w:hAnsi="Calibri"/>
                <w:sz w:val="13"/>
                <w:szCs w:val="13"/>
                <w:color w:val="auto"/>
              </w:rPr>
              <w:t>59,953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5"/>
              <w:spacing w:after="0" w:line="157" w:lineRule="exact"/>
              <w:rPr>
                <w:sz w:val="20"/>
                <w:szCs w:val="20"/>
                <w:color w:val="auto"/>
              </w:rPr>
            </w:pPr>
            <w:r>
              <w:rPr>
                <w:rFonts w:ascii="Calibri" w:cs="Calibri" w:eastAsia="Calibri" w:hAnsi="Calibri"/>
                <w:sz w:val="13"/>
                <w:szCs w:val="13"/>
                <w:color w:val="auto"/>
                <w:w w:val="90"/>
              </w:rPr>
              <w:t>$</w:t>
            </w:r>
          </w:p>
        </w:tc>
        <w:tc>
          <w:tcPr>
            <w:tcW w:w="118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218,138</w:t>
            </w:r>
          </w:p>
        </w:tc>
        <w:tc>
          <w:tcPr>
            <w:tcW w:w="0" w:type="dxa"/>
            <w:vAlign w:val="bottom"/>
          </w:tcPr>
          <w:p>
            <w:pPr>
              <w:spacing w:after="0"/>
              <w:rPr>
                <w:sz w:val="1"/>
                <w:szCs w:val="1"/>
                <w:color w:val="auto"/>
              </w:rPr>
            </w:pPr>
          </w:p>
        </w:tc>
      </w:tr>
      <w:tr>
        <w:trPr>
          <w:trHeight w:val="164"/>
        </w:trPr>
        <w:tc>
          <w:tcPr>
            <w:tcW w:w="6380" w:type="dxa"/>
            <w:vAlign w:val="bottom"/>
            <w:gridSpan w:val="2"/>
          </w:tcPr>
          <w:p>
            <w:pPr>
              <w:spacing w:after="0" w:line="157" w:lineRule="exact"/>
              <w:rPr>
                <w:sz w:val="20"/>
                <w:szCs w:val="20"/>
                <w:color w:val="auto"/>
              </w:rPr>
            </w:pPr>
            <w:r>
              <w:rPr>
                <w:rFonts w:ascii="Calibri" w:cs="Calibri" w:eastAsia="Calibri" w:hAnsi="Calibri"/>
                <w:sz w:val="13"/>
                <w:szCs w:val="13"/>
                <w:color w:val="auto"/>
              </w:rPr>
              <w:t>Gross Proft</w:t>
            </w:r>
          </w:p>
        </w:tc>
        <w:tc>
          <w:tcPr>
            <w:tcW w:w="12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00" w:type="dxa"/>
            <w:vAlign w:val="bottom"/>
          </w:tcPr>
          <w:p>
            <w:pPr>
              <w:jc w:val="right"/>
              <w:ind w:right="75"/>
              <w:spacing w:after="0" w:line="157" w:lineRule="exact"/>
              <w:rPr>
                <w:sz w:val="20"/>
                <w:szCs w:val="20"/>
                <w:color w:val="auto"/>
              </w:rPr>
            </w:pPr>
            <w:r>
              <w:rPr>
                <w:rFonts w:ascii="Calibri" w:cs="Calibri" w:eastAsia="Calibri" w:hAnsi="Calibri"/>
                <w:sz w:val="13"/>
                <w:szCs w:val="13"/>
                <w:color w:val="auto"/>
              </w:rPr>
              <w:t>49,580</w:t>
            </w:r>
          </w:p>
        </w:tc>
        <w:tc>
          <w:tcPr>
            <w:tcW w:w="80" w:type="dxa"/>
            <w:vAlign w:val="bottom"/>
          </w:tcPr>
          <w:p>
            <w:pPr>
              <w:spacing w:after="0"/>
              <w:rPr>
                <w:sz w:val="14"/>
                <w:szCs w:val="14"/>
                <w:color w:val="auto"/>
              </w:rPr>
            </w:pPr>
          </w:p>
        </w:tc>
        <w:tc>
          <w:tcPr>
            <w:tcW w:w="14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00" w:type="dxa"/>
            <w:vAlign w:val="bottom"/>
          </w:tcPr>
          <w:p>
            <w:pPr>
              <w:jc w:val="right"/>
              <w:ind w:right="95"/>
              <w:spacing w:after="0" w:line="157" w:lineRule="exact"/>
              <w:rPr>
                <w:sz w:val="20"/>
                <w:szCs w:val="20"/>
                <w:color w:val="auto"/>
              </w:rPr>
            </w:pPr>
            <w:r>
              <w:rPr>
                <w:rFonts w:ascii="Calibri" w:cs="Calibri" w:eastAsia="Calibri" w:hAnsi="Calibri"/>
                <w:sz w:val="13"/>
                <w:szCs w:val="13"/>
                <w:color w:val="auto"/>
              </w:rPr>
              <w:t>37,029</w:t>
            </w:r>
          </w:p>
        </w:tc>
        <w:tc>
          <w:tcPr>
            <w:tcW w:w="80" w:type="dxa"/>
            <w:vAlign w:val="bottom"/>
          </w:tcPr>
          <w:p>
            <w:pPr>
              <w:spacing w:after="0"/>
              <w:rPr>
                <w:sz w:val="14"/>
                <w:szCs w:val="14"/>
                <w:color w:val="auto"/>
              </w:rPr>
            </w:pPr>
          </w:p>
        </w:tc>
        <w:tc>
          <w:tcPr>
            <w:tcW w:w="360" w:type="dxa"/>
            <w:vAlign w:val="bottom"/>
          </w:tcPr>
          <w:p>
            <w:pPr>
              <w:jc w:val="right"/>
              <w:ind w:right="215"/>
              <w:spacing w:after="0" w:line="157" w:lineRule="exact"/>
              <w:rPr>
                <w:sz w:val="20"/>
                <w:szCs w:val="20"/>
                <w:color w:val="auto"/>
              </w:rPr>
            </w:pPr>
            <w:r>
              <w:rPr>
                <w:rFonts w:ascii="Calibri" w:cs="Calibri" w:eastAsia="Calibri" w:hAnsi="Calibri"/>
                <w:sz w:val="13"/>
                <w:szCs w:val="13"/>
                <w:color w:val="auto"/>
                <w:w w:val="90"/>
              </w:rPr>
              <w:t>$</w:t>
            </w:r>
          </w:p>
        </w:tc>
        <w:tc>
          <w:tcPr>
            <w:tcW w:w="118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141,577</w:t>
            </w:r>
          </w:p>
        </w:tc>
        <w:tc>
          <w:tcPr>
            <w:tcW w:w="0" w:type="dxa"/>
            <w:vAlign w:val="bottom"/>
          </w:tcPr>
          <w:p>
            <w:pPr>
              <w:spacing w:after="0"/>
              <w:rPr>
                <w:sz w:val="1"/>
                <w:szCs w:val="1"/>
                <w:color w:val="auto"/>
              </w:rPr>
            </w:pPr>
          </w:p>
        </w:tc>
      </w:tr>
      <w:tr>
        <w:trPr>
          <w:trHeight w:val="178"/>
        </w:trPr>
        <w:tc>
          <w:tcPr>
            <w:tcW w:w="6380" w:type="dxa"/>
            <w:vAlign w:val="bottom"/>
            <w:gridSpan w:val="2"/>
            <w:shd w:val="clear" w:color="auto" w:fill="CCEEFF"/>
          </w:tcPr>
          <w:p>
            <w:pPr>
              <w:spacing w:after="0"/>
              <w:rPr>
                <w:sz w:val="20"/>
                <w:szCs w:val="20"/>
                <w:color w:val="auto"/>
              </w:rPr>
            </w:pPr>
            <w:r>
              <w:rPr>
                <w:rFonts w:ascii="Calibri" w:cs="Calibri" w:eastAsia="Calibri" w:hAnsi="Calibri"/>
                <w:sz w:val="13"/>
                <w:szCs w:val="13"/>
                <w:color w:val="auto"/>
              </w:rPr>
              <w:t>Gross Proft Margin</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72.6 %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61.8 %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64.9 %</w:t>
            </w:r>
          </w:p>
        </w:tc>
        <w:tc>
          <w:tcPr>
            <w:tcW w:w="0" w:type="dxa"/>
            <w:vAlign w:val="bottom"/>
          </w:tcPr>
          <w:p>
            <w:pPr>
              <w:spacing w:after="0"/>
              <w:rPr>
                <w:sz w:val="1"/>
                <w:szCs w:val="1"/>
                <w:color w:val="auto"/>
              </w:rPr>
            </w:pPr>
          </w:p>
        </w:tc>
      </w:tr>
      <w:tr>
        <w:trPr>
          <w:trHeight w:val="164"/>
        </w:trPr>
        <w:tc>
          <w:tcPr>
            <w:tcW w:w="6380" w:type="dxa"/>
            <w:vAlign w:val="bottom"/>
            <w:gridSpan w:val="2"/>
          </w:tcPr>
          <w:p>
            <w:pPr>
              <w:spacing w:after="0" w:line="157" w:lineRule="exact"/>
              <w:rPr>
                <w:sz w:val="20"/>
                <w:szCs w:val="20"/>
                <w:color w:val="auto"/>
              </w:rPr>
            </w:pPr>
            <w:r>
              <w:rPr>
                <w:rFonts w:ascii="Calibri" w:cs="Calibri" w:eastAsia="Calibri" w:hAnsi="Calibri"/>
                <w:sz w:val="13"/>
                <w:szCs w:val="13"/>
                <w:color w:val="auto"/>
              </w:rPr>
              <w:t>Gross Margin Adjustments:</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380" w:type="dxa"/>
            <w:vAlign w:val="bottom"/>
            <w:gridSpan w:val="2"/>
            <w:shd w:val="clear" w:color="auto" w:fill="CCEEFF"/>
          </w:tcPr>
          <w:p>
            <w:pPr>
              <w:spacing w:after="0" w:line="178" w:lineRule="exact"/>
              <w:rPr>
                <w:sz w:val="20"/>
                <w:szCs w:val="20"/>
                <w:color w:val="auto"/>
              </w:rPr>
            </w:pPr>
            <w:r>
              <w:rPr>
                <w:rFonts w:ascii="Calibri" w:cs="Calibri" w:eastAsia="Calibri" w:hAnsi="Calibri"/>
                <w:sz w:val="13"/>
                <w:szCs w:val="13"/>
                <w:color w:val="auto"/>
              </w:rPr>
              <w:t>Amortzaton of the fair value of the related party liability</w:t>
            </w:r>
            <w:r>
              <w:rPr>
                <w:rFonts w:ascii="Calibri" w:cs="Calibri" w:eastAsia="Calibri" w:hAnsi="Calibri"/>
                <w:sz w:val="17"/>
                <w:szCs w:val="17"/>
                <w:color w:val="auto"/>
                <w:vertAlign w:val="superscript"/>
              </w:rPr>
              <w:t>(1)</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5"/>
              <w:spacing w:after="0"/>
              <w:rPr>
                <w:sz w:val="20"/>
                <w:szCs w:val="20"/>
                <w:color w:val="auto"/>
              </w:rPr>
            </w:pPr>
            <w:r>
              <w:rPr>
                <w:rFonts w:ascii="Calibri" w:cs="Calibri" w:eastAsia="Calibri" w:hAnsi="Calibri"/>
                <w:sz w:val="13"/>
                <w:szCs w:val="13"/>
                <w:color w:val="auto"/>
              </w:rPr>
              <w:t>(316)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55"/>
              <w:spacing w:after="0"/>
              <w:rPr>
                <w:sz w:val="20"/>
                <w:szCs w:val="20"/>
                <w:color w:val="auto"/>
              </w:rPr>
            </w:pPr>
            <w:r>
              <w:rPr>
                <w:rFonts w:ascii="Calibri" w:cs="Calibri" w:eastAsia="Calibri" w:hAnsi="Calibri"/>
                <w:sz w:val="13"/>
                <w:szCs w:val="13"/>
                <w:color w:val="auto"/>
              </w:rPr>
              <w:t>(2,371)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54"/>
              <w:spacing w:after="0"/>
              <w:rPr>
                <w:sz w:val="20"/>
                <w:szCs w:val="20"/>
                <w:color w:val="auto"/>
              </w:rPr>
            </w:pPr>
            <w:r>
              <w:rPr>
                <w:rFonts w:ascii="Calibri" w:cs="Calibri" w:eastAsia="Calibri" w:hAnsi="Calibri"/>
                <w:sz w:val="13"/>
                <w:szCs w:val="13"/>
                <w:color w:val="auto"/>
              </w:rPr>
              <w:t>(4,058)</w:t>
            </w:r>
          </w:p>
        </w:tc>
        <w:tc>
          <w:tcPr>
            <w:tcW w:w="0" w:type="dxa"/>
            <w:vAlign w:val="bottom"/>
          </w:tcPr>
          <w:p>
            <w:pPr>
              <w:spacing w:after="0"/>
              <w:rPr>
                <w:sz w:val="1"/>
                <w:szCs w:val="1"/>
                <w:color w:val="auto"/>
              </w:rPr>
            </w:pPr>
          </w:p>
        </w:tc>
      </w:tr>
      <w:tr>
        <w:trPr>
          <w:trHeight w:val="171"/>
        </w:trPr>
        <w:tc>
          <w:tcPr>
            <w:tcW w:w="6380" w:type="dxa"/>
            <w:vAlign w:val="bottom"/>
            <w:gridSpan w:val="2"/>
          </w:tcPr>
          <w:p>
            <w:pPr>
              <w:spacing w:after="0" w:line="171" w:lineRule="exact"/>
              <w:rPr>
                <w:sz w:val="20"/>
                <w:szCs w:val="20"/>
                <w:color w:val="auto"/>
              </w:rPr>
            </w:pPr>
            <w:r>
              <w:rPr>
                <w:rFonts w:ascii="Calibri" w:cs="Calibri" w:eastAsia="Calibri" w:hAnsi="Calibri"/>
                <w:sz w:val="13"/>
                <w:szCs w:val="13"/>
                <w:color w:val="auto"/>
              </w:rPr>
              <w:t>Amortzaton of the inventory fair value adjustment</w:t>
            </w:r>
            <w:r>
              <w:rPr>
                <w:rFonts w:ascii="Calibri" w:cs="Calibri" w:eastAsia="Calibri" w:hAnsi="Calibri"/>
                <w:sz w:val="17"/>
                <w:szCs w:val="17"/>
                <w:color w:val="auto"/>
                <w:vertAlign w:val="superscript"/>
              </w:rPr>
              <w:t>(2)</w:t>
            </w:r>
          </w:p>
        </w:tc>
        <w:tc>
          <w:tcPr>
            <w:tcW w:w="120" w:type="dxa"/>
            <w:vAlign w:val="bottom"/>
          </w:tcPr>
          <w:p>
            <w:pPr>
              <w:spacing w:after="0"/>
              <w:rPr>
                <w:sz w:val="14"/>
                <w:szCs w:val="14"/>
                <w:color w:val="auto"/>
              </w:rPr>
            </w:pPr>
          </w:p>
        </w:tc>
        <w:tc>
          <w:tcPr>
            <w:tcW w:w="1480" w:type="dxa"/>
            <w:vAlign w:val="bottom"/>
            <w:gridSpan w:val="2"/>
          </w:tcPr>
          <w:p>
            <w:pPr>
              <w:jc w:val="right"/>
              <w:ind w:right="220"/>
              <w:spacing w:after="0" w:line="157" w:lineRule="exact"/>
              <w:rPr>
                <w:sz w:val="20"/>
                <w:szCs w:val="20"/>
                <w:color w:val="auto"/>
              </w:rPr>
            </w:pPr>
            <w:r>
              <w:rPr>
                <w:rFonts w:ascii="Calibri" w:cs="Calibri" w:eastAsia="Calibri" w:hAnsi="Calibri"/>
                <w:sz w:val="13"/>
                <w:szCs w:val="13"/>
                <w:color w:val="auto"/>
              </w:rPr>
              <w:t>—</w:t>
            </w:r>
          </w:p>
        </w:tc>
        <w:tc>
          <w:tcPr>
            <w:tcW w:w="140" w:type="dxa"/>
            <w:vAlign w:val="bottom"/>
          </w:tcPr>
          <w:p>
            <w:pPr>
              <w:spacing w:after="0"/>
              <w:rPr>
                <w:sz w:val="14"/>
                <w:szCs w:val="14"/>
                <w:color w:val="auto"/>
              </w:rPr>
            </w:pPr>
          </w:p>
        </w:tc>
        <w:tc>
          <w:tcPr>
            <w:tcW w:w="1400" w:type="dxa"/>
            <w:vAlign w:val="bottom"/>
          </w:tcPr>
          <w:p>
            <w:pPr>
              <w:jc w:val="right"/>
              <w:ind w:right="95"/>
              <w:spacing w:after="0" w:line="157" w:lineRule="exact"/>
              <w:rPr>
                <w:sz w:val="20"/>
                <w:szCs w:val="20"/>
                <w:color w:val="auto"/>
              </w:rPr>
            </w:pPr>
            <w:r>
              <w:rPr>
                <w:rFonts w:ascii="Calibri" w:cs="Calibri" w:eastAsia="Calibri" w:hAnsi="Calibri"/>
                <w:sz w:val="13"/>
                <w:szCs w:val="13"/>
                <w:color w:val="auto"/>
              </w:rPr>
              <w:t>1,691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1,691</w:t>
            </w:r>
          </w:p>
        </w:tc>
        <w:tc>
          <w:tcPr>
            <w:tcW w:w="0" w:type="dxa"/>
            <w:vAlign w:val="bottom"/>
          </w:tcPr>
          <w:p>
            <w:pPr>
              <w:spacing w:after="0"/>
              <w:rPr>
                <w:sz w:val="1"/>
                <w:szCs w:val="1"/>
                <w:color w:val="auto"/>
              </w:rPr>
            </w:pPr>
          </w:p>
        </w:tc>
      </w:tr>
      <w:tr>
        <w:trPr>
          <w:trHeight w:val="171"/>
        </w:trPr>
        <w:tc>
          <w:tcPr>
            <w:tcW w:w="6380" w:type="dxa"/>
            <w:vAlign w:val="bottom"/>
            <w:gridSpan w:val="2"/>
            <w:shd w:val="clear" w:color="auto" w:fill="CCEEFF"/>
          </w:tcPr>
          <w:p>
            <w:pPr>
              <w:spacing w:after="0" w:line="171" w:lineRule="exact"/>
              <w:rPr>
                <w:sz w:val="20"/>
                <w:szCs w:val="20"/>
                <w:color w:val="auto"/>
              </w:rPr>
            </w:pPr>
            <w:r>
              <w:rPr>
                <w:rFonts w:ascii="Calibri" w:cs="Calibri" w:eastAsia="Calibri" w:hAnsi="Calibri"/>
                <w:sz w:val="13"/>
                <w:szCs w:val="13"/>
                <w:color w:val="auto"/>
              </w:rPr>
              <w:t>Amortzaton impact of intangible assets</w:t>
            </w:r>
            <w:r>
              <w:rPr>
                <w:rFonts w:ascii="Calibri" w:cs="Calibri" w:eastAsia="Calibri" w:hAnsi="Calibri"/>
                <w:sz w:val="17"/>
                <w:szCs w:val="17"/>
                <w:color w:val="auto"/>
                <w:vertAlign w:val="superscript"/>
              </w:rPr>
              <w:t>(3)</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75"/>
              <w:spacing w:after="0" w:line="157" w:lineRule="exact"/>
              <w:rPr>
                <w:sz w:val="20"/>
                <w:szCs w:val="20"/>
                <w:color w:val="auto"/>
              </w:rPr>
            </w:pPr>
            <w:r>
              <w:rPr>
                <w:rFonts w:ascii="Calibri" w:cs="Calibri" w:eastAsia="Calibri" w:hAnsi="Calibri"/>
                <w:sz w:val="13"/>
                <w:szCs w:val="13"/>
                <w:color w:val="auto"/>
              </w:rPr>
              <w:t>2,801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5"/>
              <w:spacing w:after="0" w:line="157" w:lineRule="exact"/>
              <w:rPr>
                <w:sz w:val="20"/>
                <w:szCs w:val="20"/>
                <w:color w:val="auto"/>
              </w:rPr>
            </w:pPr>
            <w:r>
              <w:rPr>
                <w:rFonts w:ascii="Calibri" w:cs="Calibri" w:eastAsia="Calibri" w:hAnsi="Calibri"/>
                <w:sz w:val="13"/>
                <w:szCs w:val="13"/>
                <w:color w:val="auto"/>
              </w:rPr>
              <w:t>2,801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11,205</w:t>
            </w:r>
          </w:p>
        </w:tc>
        <w:tc>
          <w:tcPr>
            <w:tcW w:w="0" w:type="dxa"/>
            <w:vAlign w:val="bottom"/>
          </w:tcPr>
          <w:p>
            <w:pPr>
              <w:spacing w:after="0"/>
              <w:rPr>
                <w:sz w:val="1"/>
                <w:szCs w:val="1"/>
                <w:color w:val="auto"/>
              </w:rPr>
            </w:pPr>
          </w:p>
        </w:tc>
      </w:tr>
      <w:tr>
        <w:trPr>
          <w:trHeight w:val="153"/>
        </w:trPr>
        <w:tc>
          <w:tcPr>
            <w:tcW w:w="6380" w:type="dxa"/>
            <w:vAlign w:val="bottom"/>
            <w:gridSpan w:val="2"/>
          </w:tcPr>
          <w:p>
            <w:pPr>
              <w:spacing w:after="0" w:line="137" w:lineRule="exact"/>
              <w:rPr>
                <w:sz w:val="20"/>
                <w:szCs w:val="20"/>
                <w:color w:val="auto"/>
              </w:rPr>
            </w:pPr>
            <w:r>
              <w:rPr>
                <w:rFonts w:ascii="Calibri" w:cs="Calibri" w:eastAsia="Calibri" w:hAnsi="Calibri"/>
                <w:sz w:val="13"/>
                <w:szCs w:val="13"/>
                <w:color w:val="auto"/>
              </w:rPr>
              <w:t>Adjusted Gross Proft</w:t>
            </w:r>
          </w:p>
        </w:tc>
        <w:tc>
          <w:tcPr>
            <w:tcW w:w="120" w:type="dxa"/>
            <w:vAlign w:val="bottom"/>
          </w:tcPr>
          <w:p>
            <w:pPr>
              <w:jc w:val="right"/>
              <w:spacing w:after="0" w:line="153" w:lineRule="exact"/>
              <w:rPr>
                <w:sz w:val="20"/>
                <w:szCs w:val="20"/>
                <w:color w:val="auto"/>
              </w:rPr>
            </w:pPr>
            <w:r>
              <w:rPr>
                <w:rFonts w:ascii="Calibri" w:cs="Calibri" w:eastAsia="Calibri" w:hAnsi="Calibri"/>
                <w:sz w:val="13"/>
                <w:szCs w:val="13"/>
                <w:color w:val="auto"/>
                <w:w w:val="90"/>
              </w:rPr>
              <w:t>$</w:t>
            </w:r>
          </w:p>
        </w:tc>
        <w:tc>
          <w:tcPr>
            <w:tcW w:w="1400" w:type="dxa"/>
            <w:vAlign w:val="bottom"/>
          </w:tcPr>
          <w:p>
            <w:pPr>
              <w:jc w:val="right"/>
              <w:ind w:right="75"/>
              <w:spacing w:after="0" w:line="153" w:lineRule="exact"/>
              <w:rPr>
                <w:sz w:val="20"/>
                <w:szCs w:val="20"/>
                <w:color w:val="auto"/>
              </w:rPr>
            </w:pPr>
            <w:r>
              <w:rPr>
                <w:rFonts w:ascii="Calibri" w:cs="Calibri" w:eastAsia="Calibri" w:hAnsi="Calibri"/>
                <w:sz w:val="13"/>
                <w:szCs w:val="13"/>
                <w:color w:val="auto"/>
              </w:rPr>
              <w:t>52,065</w:t>
            </w:r>
          </w:p>
        </w:tc>
        <w:tc>
          <w:tcPr>
            <w:tcW w:w="80" w:type="dxa"/>
            <w:vAlign w:val="bottom"/>
          </w:tcPr>
          <w:p>
            <w:pPr>
              <w:spacing w:after="0"/>
              <w:rPr>
                <w:sz w:val="13"/>
                <w:szCs w:val="13"/>
                <w:color w:val="auto"/>
              </w:rPr>
            </w:pPr>
          </w:p>
        </w:tc>
        <w:tc>
          <w:tcPr>
            <w:tcW w:w="140" w:type="dxa"/>
            <w:vAlign w:val="bottom"/>
          </w:tcPr>
          <w:p>
            <w:pPr>
              <w:jc w:val="right"/>
              <w:spacing w:after="0" w:line="153" w:lineRule="exact"/>
              <w:rPr>
                <w:sz w:val="20"/>
                <w:szCs w:val="20"/>
                <w:color w:val="auto"/>
              </w:rPr>
            </w:pPr>
            <w:r>
              <w:rPr>
                <w:rFonts w:ascii="Calibri" w:cs="Calibri" w:eastAsia="Calibri" w:hAnsi="Calibri"/>
                <w:sz w:val="13"/>
                <w:szCs w:val="13"/>
                <w:color w:val="auto"/>
                <w:w w:val="90"/>
              </w:rPr>
              <w:t>$</w:t>
            </w:r>
          </w:p>
        </w:tc>
        <w:tc>
          <w:tcPr>
            <w:tcW w:w="1400" w:type="dxa"/>
            <w:vAlign w:val="bottom"/>
          </w:tcPr>
          <w:p>
            <w:pPr>
              <w:jc w:val="right"/>
              <w:ind w:right="95"/>
              <w:spacing w:after="0" w:line="153" w:lineRule="exact"/>
              <w:rPr>
                <w:sz w:val="20"/>
                <w:szCs w:val="20"/>
                <w:color w:val="auto"/>
              </w:rPr>
            </w:pPr>
            <w:r>
              <w:rPr>
                <w:rFonts w:ascii="Calibri" w:cs="Calibri" w:eastAsia="Calibri" w:hAnsi="Calibri"/>
                <w:sz w:val="13"/>
                <w:szCs w:val="13"/>
                <w:color w:val="auto"/>
              </w:rPr>
              <w:t>39,150</w:t>
            </w:r>
          </w:p>
        </w:tc>
        <w:tc>
          <w:tcPr>
            <w:tcW w:w="80" w:type="dxa"/>
            <w:vAlign w:val="bottom"/>
          </w:tcPr>
          <w:p>
            <w:pPr>
              <w:spacing w:after="0"/>
              <w:rPr>
                <w:sz w:val="13"/>
                <w:szCs w:val="13"/>
                <w:color w:val="auto"/>
              </w:rPr>
            </w:pPr>
          </w:p>
        </w:tc>
        <w:tc>
          <w:tcPr>
            <w:tcW w:w="360" w:type="dxa"/>
            <w:vAlign w:val="bottom"/>
          </w:tcPr>
          <w:p>
            <w:pPr>
              <w:jc w:val="right"/>
              <w:ind w:right="215"/>
              <w:spacing w:after="0" w:line="153" w:lineRule="exact"/>
              <w:rPr>
                <w:sz w:val="20"/>
                <w:szCs w:val="20"/>
                <w:color w:val="auto"/>
              </w:rPr>
            </w:pPr>
            <w:r>
              <w:rPr>
                <w:rFonts w:ascii="Calibri" w:cs="Calibri" w:eastAsia="Calibri" w:hAnsi="Calibri"/>
                <w:sz w:val="13"/>
                <w:szCs w:val="13"/>
                <w:color w:val="auto"/>
                <w:w w:val="90"/>
              </w:rPr>
              <w:t>$</w:t>
            </w:r>
          </w:p>
        </w:tc>
        <w:tc>
          <w:tcPr>
            <w:tcW w:w="1180" w:type="dxa"/>
            <w:vAlign w:val="bottom"/>
          </w:tcPr>
          <w:p>
            <w:pPr>
              <w:jc w:val="right"/>
              <w:ind w:right="94"/>
              <w:spacing w:after="0" w:line="153" w:lineRule="exact"/>
              <w:rPr>
                <w:sz w:val="20"/>
                <w:szCs w:val="20"/>
                <w:color w:val="auto"/>
              </w:rPr>
            </w:pPr>
            <w:r>
              <w:rPr>
                <w:rFonts w:ascii="Calibri" w:cs="Calibri" w:eastAsia="Calibri" w:hAnsi="Calibri"/>
                <w:sz w:val="13"/>
                <w:szCs w:val="13"/>
                <w:color w:val="auto"/>
              </w:rPr>
              <w:t>150,415</w:t>
            </w:r>
          </w:p>
        </w:tc>
        <w:tc>
          <w:tcPr>
            <w:tcW w:w="0" w:type="dxa"/>
            <w:vAlign w:val="bottom"/>
          </w:tcPr>
          <w:p>
            <w:pPr>
              <w:spacing w:after="0"/>
              <w:rPr>
                <w:sz w:val="1"/>
                <w:szCs w:val="1"/>
                <w:color w:val="auto"/>
              </w:rPr>
            </w:pPr>
          </w:p>
        </w:tc>
      </w:tr>
      <w:tr>
        <w:trPr>
          <w:trHeight w:val="178"/>
        </w:trPr>
        <w:tc>
          <w:tcPr>
            <w:tcW w:w="6380" w:type="dxa"/>
            <w:vAlign w:val="bottom"/>
            <w:gridSpan w:val="2"/>
            <w:shd w:val="clear" w:color="auto" w:fill="CCEEFF"/>
          </w:tcPr>
          <w:p>
            <w:pPr>
              <w:spacing w:after="0"/>
              <w:rPr>
                <w:sz w:val="20"/>
                <w:szCs w:val="20"/>
                <w:color w:val="auto"/>
              </w:rPr>
            </w:pPr>
            <w:r>
              <w:rPr>
                <w:rFonts w:ascii="Calibri" w:cs="Calibri" w:eastAsia="Calibri" w:hAnsi="Calibri"/>
                <w:sz w:val="13"/>
                <w:szCs w:val="13"/>
                <w:color w:val="auto"/>
              </w:rPr>
              <w:t>Adjusted Gross Margin %</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76.3 %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65.3 %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69.0 %</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08" w:hanging="108"/>
        <w:spacing w:after="0"/>
        <w:tabs>
          <w:tab w:leader="none" w:pos="108" w:val="left"/>
        </w:tabs>
        <w:numPr>
          <w:ilvl w:val="0"/>
          <w:numId w:val="8"/>
        </w:numPr>
        <w:rPr>
          <w:rFonts w:ascii="Calibri" w:cs="Calibri" w:eastAsia="Calibri" w:hAnsi="Calibri"/>
          <w:sz w:val="14"/>
          <w:szCs w:val="14"/>
          <w:color w:val="auto"/>
          <w:vertAlign w:val="superscript"/>
        </w:rPr>
      </w:pPr>
      <w:r>
        <w:rPr>
          <w:rFonts w:ascii="Calibri" w:cs="Calibri" w:eastAsia="Calibri" w:hAnsi="Calibri"/>
          <w:sz w:val="11"/>
          <w:szCs w:val="11"/>
          <w:color w:val="auto"/>
        </w:rPr>
        <w:t>Relates to the fair value of the related party liability for the unfavorable discount to the Obagi China Business as part of the Business Combinaton.</w:t>
      </w:r>
    </w:p>
    <w:p>
      <w:pPr>
        <w:spacing w:after="0" w:line="26" w:lineRule="exact"/>
        <w:rPr>
          <w:rFonts w:ascii="Calibri" w:cs="Calibri" w:eastAsia="Calibri" w:hAnsi="Calibri"/>
          <w:sz w:val="14"/>
          <w:szCs w:val="14"/>
          <w:color w:val="auto"/>
          <w:vertAlign w:val="superscript"/>
        </w:rPr>
      </w:pPr>
    </w:p>
    <w:p>
      <w:pPr>
        <w:ind w:left="108" w:hanging="108"/>
        <w:spacing w:after="0" w:line="193" w:lineRule="auto"/>
        <w:tabs>
          <w:tab w:leader="none" w:pos="108" w:val="left"/>
        </w:tabs>
        <w:numPr>
          <w:ilvl w:val="0"/>
          <w:numId w:val="8"/>
        </w:numPr>
        <w:rPr>
          <w:rFonts w:ascii="Calibri" w:cs="Calibri" w:eastAsia="Calibri" w:hAnsi="Calibri"/>
          <w:sz w:val="12"/>
          <w:szCs w:val="12"/>
          <w:color w:val="auto"/>
          <w:vertAlign w:val="superscript"/>
        </w:rPr>
      </w:pPr>
      <w:r>
        <w:rPr>
          <w:rFonts w:ascii="Calibri" w:cs="Calibri" w:eastAsia="Calibri" w:hAnsi="Calibri"/>
          <w:sz w:val="9"/>
          <w:szCs w:val="9"/>
          <w:color w:val="auto"/>
        </w:rPr>
        <w:t>Relates to the amortzaton of the inventory fair value step-up as a result of the Business Combinaton.</w:t>
      </w:r>
    </w:p>
    <w:p>
      <w:pPr>
        <w:spacing w:after="0" w:line="26" w:lineRule="exact"/>
        <w:rPr>
          <w:rFonts w:ascii="Calibri" w:cs="Calibri" w:eastAsia="Calibri" w:hAnsi="Calibri"/>
          <w:sz w:val="12"/>
          <w:szCs w:val="12"/>
          <w:color w:val="auto"/>
          <w:vertAlign w:val="superscript"/>
        </w:rPr>
      </w:pPr>
    </w:p>
    <w:p>
      <w:pPr>
        <w:ind w:left="108" w:hanging="108"/>
        <w:spacing w:after="0" w:line="193" w:lineRule="auto"/>
        <w:tabs>
          <w:tab w:leader="none" w:pos="108" w:val="left"/>
        </w:tabs>
        <w:numPr>
          <w:ilvl w:val="0"/>
          <w:numId w:val="8"/>
        </w:numPr>
        <w:rPr>
          <w:rFonts w:ascii="Calibri" w:cs="Calibri" w:eastAsia="Calibri" w:hAnsi="Calibri"/>
          <w:sz w:val="12"/>
          <w:szCs w:val="12"/>
          <w:color w:val="auto"/>
          <w:vertAlign w:val="superscript"/>
        </w:rPr>
      </w:pPr>
      <w:r>
        <w:rPr>
          <w:rFonts w:ascii="Calibri" w:cs="Calibri" w:eastAsia="Calibri" w:hAnsi="Calibri"/>
          <w:sz w:val="9"/>
          <w:szCs w:val="9"/>
          <w:color w:val="auto"/>
        </w:rPr>
        <w:t>The Supply Agreement and Formulatons intangible assets are amortzed to COGS.</w:t>
      </w:r>
    </w:p>
    <w:p>
      <w:pPr>
        <w:spacing w:after="0" w:line="200" w:lineRule="exact"/>
        <w:rPr>
          <w:sz w:val="20"/>
          <w:szCs w:val="20"/>
          <w:color w:val="auto"/>
        </w:rPr>
      </w:pPr>
    </w:p>
    <w:p>
      <w:pPr>
        <w:spacing w:after="0" w:line="347" w:lineRule="exact"/>
        <w:rPr>
          <w:sz w:val="20"/>
          <w:szCs w:val="20"/>
          <w:color w:val="auto"/>
        </w:rPr>
      </w:pPr>
    </w:p>
    <w:p>
      <w:pPr>
        <w:jc w:val="center"/>
        <w:ind w:right="-7"/>
        <w:spacing w:after="0"/>
        <w:rPr>
          <w:sz w:val="20"/>
          <w:szCs w:val="20"/>
          <w:color w:val="auto"/>
        </w:rPr>
      </w:pPr>
      <w:r>
        <w:rPr>
          <w:rFonts w:ascii="Calibri" w:cs="Calibri" w:eastAsia="Calibri" w:hAnsi="Calibri"/>
          <w:sz w:val="13"/>
          <w:szCs w:val="13"/>
          <w:color w:val="auto"/>
        </w:rPr>
        <w:t>10</w:t>
      </w:r>
    </w:p>
    <w:p>
      <w:pPr>
        <w:sectPr>
          <w:pgSz w:w="11900" w:h="16838" w:orient="portrait"/>
          <w:cols w:equalWidth="0" w:num="1">
            <w:col w:w="11308"/>
          </w:cols>
          <w:pgMar w:left="292" w:top="678"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gridSpan w:val="2"/>
          </w:tcPr>
          <w:p>
            <w:pPr>
              <w:jc w:val="center"/>
              <w:ind w:right="220"/>
              <w:spacing w:after="0"/>
              <w:rPr>
                <w:sz w:val="20"/>
                <w:szCs w:val="20"/>
                <w:color w:val="auto"/>
              </w:rPr>
            </w:pPr>
            <w:r>
              <w:rPr>
                <w:rFonts w:ascii="Calibri" w:cs="Calibri" w:eastAsia="Calibri" w:hAnsi="Calibri"/>
                <w:sz w:val="13"/>
                <w:szCs w:val="13"/>
                <w:b w:val="1"/>
                <w:bCs w:val="1"/>
                <w:color w:val="auto"/>
              </w:rPr>
              <w:t>Obagi Skincare</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460" w:type="dxa"/>
            <w:vAlign w:val="bottom"/>
            <w:gridSpan w:val="2"/>
            <w:vMerge w:val="restart"/>
          </w:tcPr>
          <w:p>
            <w:pPr>
              <w:spacing w:after="0"/>
              <w:rPr>
                <w:sz w:val="20"/>
                <w:szCs w:val="20"/>
                <w:color w:val="auto"/>
              </w:rPr>
            </w:pPr>
            <w:r>
              <w:rPr>
                <w:rFonts w:ascii="Calibri" w:cs="Calibri" w:eastAsia="Calibri" w:hAnsi="Calibri"/>
                <w:sz w:val="13"/>
                <w:szCs w:val="13"/>
                <w:i w:val="1"/>
                <w:iCs w:val="1"/>
                <w:color w:val="auto"/>
              </w:rPr>
              <w:t>U.S. Dollars (in thousands except for percentages)</w:t>
            </w:r>
          </w:p>
        </w:tc>
        <w:tc>
          <w:tcPr>
            <w:tcW w:w="140" w:type="dxa"/>
            <w:vAlign w:val="bottom"/>
          </w:tcPr>
          <w:p>
            <w:pPr>
              <w:spacing w:after="0"/>
              <w:rPr>
                <w:sz w:val="9"/>
                <w:szCs w:val="9"/>
                <w:color w:val="auto"/>
              </w:rPr>
            </w:pPr>
          </w:p>
        </w:tc>
        <w:tc>
          <w:tcPr>
            <w:tcW w:w="1500" w:type="dxa"/>
            <w:vAlign w:val="bottom"/>
            <w:gridSpan w:val="2"/>
          </w:tcPr>
          <w:p>
            <w:pPr>
              <w:jc w:val="center"/>
              <w:ind w:right="220"/>
              <w:spacing w:after="0" w:line="114" w:lineRule="exact"/>
              <w:rPr>
                <w:sz w:val="20"/>
                <w:szCs w:val="20"/>
                <w:color w:val="auto"/>
              </w:rPr>
            </w:pPr>
            <w:r>
              <w:rPr>
                <w:rFonts w:ascii="Calibri" w:cs="Calibri" w:eastAsia="Calibri" w:hAnsi="Calibri"/>
                <w:sz w:val="12"/>
                <w:szCs w:val="12"/>
                <w:b w:val="1"/>
                <w:bCs w:val="1"/>
                <w:color w:val="auto"/>
              </w:rPr>
              <w:t>Three Months Ended</w:t>
            </w:r>
          </w:p>
        </w:tc>
        <w:tc>
          <w:tcPr>
            <w:tcW w:w="140" w:type="dxa"/>
            <w:vAlign w:val="bottom"/>
          </w:tcPr>
          <w:p>
            <w:pPr>
              <w:spacing w:after="0"/>
              <w:rPr>
                <w:sz w:val="9"/>
                <w:szCs w:val="9"/>
                <w:color w:val="auto"/>
              </w:rPr>
            </w:pPr>
          </w:p>
        </w:tc>
        <w:tc>
          <w:tcPr>
            <w:tcW w:w="1500" w:type="dxa"/>
            <w:vAlign w:val="bottom"/>
            <w:gridSpan w:val="2"/>
          </w:tcPr>
          <w:p>
            <w:pPr>
              <w:jc w:val="center"/>
              <w:ind w:right="220"/>
              <w:spacing w:after="0" w:line="114" w:lineRule="exact"/>
              <w:rPr>
                <w:sz w:val="20"/>
                <w:szCs w:val="20"/>
                <w:color w:val="auto"/>
              </w:rPr>
            </w:pPr>
            <w:r>
              <w:rPr>
                <w:rFonts w:ascii="Calibri" w:cs="Calibri" w:eastAsia="Calibri" w:hAnsi="Calibri"/>
                <w:sz w:val="12"/>
                <w:szCs w:val="12"/>
                <w:b w:val="1"/>
                <w:bCs w:val="1"/>
                <w:color w:val="auto"/>
              </w:rPr>
              <w:t>Three Months Ended</w:t>
            </w:r>
          </w:p>
        </w:tc>
        <w:tc>
          <w:tcPr>
            <w:tcW w:w="1560" w:type="dxa"/>
            <w:vAlign w:val="bottom"/>
            <w:gridSpan w:val="2"/>
          </w:tcPr>
          <w:p>
            <w:pPr>
              <w:jc w:val="right"/>
              <w:spacing w:after="0" w:line="114" w:lineRule="exact"/>
              <w:rPr>
                <w:sz w:val="20"/>
                <w:szCs w:val="20"/>
                <w:color w:val="auto"/>
              </w:rPr>
            </w:pPr>
            <w:r>
              <w:rPr>
                <w:rFonts w:ascii="Calibri" w:cs="Calibri" w:eastAsia="Calibri" w:hAnsi="Calibri"/>
                <w:sz w:val="12"/>
                <w:szCs w:val="12"/>
                <w:b w:val="1"/>
                <w:bCs w:val="1"/>
                <w:color w:val="auto"/>
              </w:rPr>
              <w:t>Year Ended December 31,</w:t>
            </w:r>
          </w:p>
        </w:tc>
        <w:tc>
          <w:tcPr>
            <w:tcW w:w="0" w:type="dxa"/>
            <w:vAlign w:val="bottom"/>
          </w:tcPr>
          <w:p>
            <w:pPr>
              <w:spacing w:after="0"/>
              <w:rPr>
                <w:sz w:val="1"/>
                <w:szCs w:val="1"/>
                <w:color w:val="auto"/>
              </w:rPr>
            </w:pPr>
          </w:p>
        </w:tc>
      </w:tr>
      <w:tr>
        <w:trPr>
          <w:trHeight w:val="157"/>
        </w:trPr>
        <w:tc>
          <w:tcPr>
            <w:tcW w:w="64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20"/>
              <w:spacing w:after="0" w:line="157" w:lineRule="exact"/>
              <w:rPr>
                <w:sz w:val="20"/>
                <w:szCs w:val="20"/>
                <w:color w:val="auto"/>
              </w:rPr>
            </w:pPr>
            <w:r>
              <w:rPr>
                <w:rFonts w:ascii="Calibri" w:cs="Calibri" w:eastAsia="Calibri" w:hAnsi="Calibri"/>
                <w:sz w:val="13"/>
                <w:szCs w:val="13"/>
                <w:b w:val="1"/>
                <w:bCs w:val="1"/>
                <w:color w:val="auto"/>
              </w:rPr>
              <w:t>March 31, 2024</w:t>
            </w:r>
          </w:p>
        </w:tc>
        <w:tc>
          <w:tcPr>
            <w:tcW w:w="140" w:type="dxa"/>
            <w:vAlign w:val="bottom"/>
          </w:tcPr>
          <w:p>
            <w:pPr>
              <w:spacing w:after="0"/>
              <w:rPr>
                <w:sz w:val="13"/>
                <w:szCs w:val="13"/>
                <w:color w:val="auto"/>
              </w:rPr>
            </w:pPr>
          </w:p>
        </w:tc>
        <w:tc>
          <w:tcPr>
            <w:tcW w:w="1500" w:type="dxa"/>
            <w:vAlign w:val="bottom"/>
            <w:gridSpan w:val="2"/>
          </w:tcPr>
          <w:p>
            <w:pPr>
              <w:jc w:val="center"/>
              <w:ind w:right="220"/>
              <w:spacing w:after="0" w:line="157" w:lineRule="exact"/>
              <w:rPr>
                <w:sz w:val="20"/>
                <w:szCs w:val="20"/>
                <w:color w:val="auto"/>
              </w:rPr>
            </w:pPr>
            <w:r>
              <w:rPr>
                <w:rFonts w:ascii="Calibri" w:cs="Calibri" w:eastAsia="Calibri" w:hAnsi="Calibri"/>
                <w:sz w:val="13"/>
                <w:szCs w:val="13"/>
                <w:b w:val="1"/>
                <w:bCs w:val="1"/>
                <w:color w:val="auto"/>
              </w:rPr>
              <w:t>March 31, 2023</w:t>
            </w:r>
          </w:p>
        </w:tc>
        <w:tc>
          <w:tcPr>
            <w:tcW w:w="360" w:type="dxa"/>
            <w:vAlign w:val="bottom"/>
          </w:tcPr>
          <w:p>
            <w:pPr>
              <w:spacing w:after="0"/>
              <w:rPr>
                <w:sz w:val="13"/>
                <w:szCs w:val="13"/>
                <w:color w:val="auto"/>
              </w:rPr>
            </w:pPr>
          </w:p>
        </w:tc>
        <w:tc>
          <w:tcPr>
            <w:tcW w:w="1200" w:type="dxa"/>
            <w:vAlign w:val="bottom"/>
          </w:tcPr>
          <w:p>
            <w:pPr>
              <w:jc w:val="right"/>
              <w:ind w:right="574"/>
              <w:spacing w:after="0" w:line="157" w:lineRule="exact"/>
              <w:rPr>
                <w:sz w:val="20"/>
                <w:szCs w:val="20"/>
                <w:color w:val="auto"/>
              </w:rPr>
            </w:pPr>
            <w:r>
              <w:rPr>
                <w:rFonts w:ascii="Calibri" w:cs="Calibri" w:eastAsia="Calibri" w:hAnsi="Calibri"/>
                <w:sz w:val="13"/>
                <w:szCs w:val="13"/>
                <w:b w:val="1"/>
                <w:bCs w:val="1"/>
                <w:color w:val="auto"/>
              </w:rPr>
              <w:t>2023</w:t>
            </w:r>
          </w:p>
        </w:tc>
        <w:tc>
          <w:tcPr>
            <w:tcW w:w="0" w:type="dxa"/>
            <w:vAlign w:val="bottom"/>
          </w:tcPr>
          <w:p>
            <w:pPr>
              <w:spacing w:after="0"/>
              <w:rPr>
                <w:sz w:val="1"/>
                <w:szCs w:val="1"/>
                <w:color w:val="auto"/>
              </w:rPr>
            </w:pPr>
          </w:p>
        </w:tc>
      </w:tr>
      <w:tr>
        <w:trPr>
          <w:trHeight w:val="22"/>
        </w:trPr>
        <w:tc>
          <w:tcPr>
            <w:tcW w:w="6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380" w:type="dxa"/>
            <w:vAlign w:val="bottom"/>
            <w:shd w:val="clear" w:color="auto" w:fill="CCEEFF"/>
          </w:tcPr>
          <w:p>
            <w:pPr>
              <w:spacing w:after="0" w:line="157" w:lineRule="exact"/>
              <w:rPr>
                <w:sz w:val="20"/>
                <w:szCs w:val="20"/>
                <w:color w:val="auto"/>
              </w:rPr>
            </w:pPr>
            <w:r>
              <w:rPr>
                <w:rFonts w:ascii="Calibri" w:cs="Calibri" w:eastAsia="Calibri" w:hAnsi="Calibri"/>
                <w:sz w:val="13"/>
                <w:szCs w:val="13"/>
                <w:color w:val="auto"/>
              </w:rPr>
              <w:t>Net Revenue</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75"/>
              <w:spacing w:after="0" w:line="157" w:lineRule="exact"/>
              <w:rPr>
                <w:sz w:val="20"/>
                <w:szCs w:val="20"/>
                <w:color w:val="auto"/>
              </w:rPr>
            </w:pPr>
            <w:r>
              <w:rPr>
                <w:rFonts w:ascii="Calibri" w:cs="Calibri" w:eastAsia="Calibri" w:hAnsi="Calibri"/>
                <w:sz w:val="13"/>
                <w:szCs w:val="13"/>
                <w:color w:val="auto"/>
              </w:rPr>
              <w:t>33,768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95"/>
              <w:spacing w:after="0" w:line="157" w:lineRule="exact"/>
              <w:rPr>
                <w:sz w:val="20"/>
                <w:szCs w:val="20"/>
                <w:color w:val="auto"/>
              </w:rPr>
            </w:pPr>
            <w:r>
              <w:rPr>
                <w:rFonts w:ascii="Calibri" w:cs="Calibri" w:eastAsia="Calibri" w:hAnsi="Calibri"/>
                <w:sz w:val="13"/>
                <w:szCs w:val="13"/>
                <w:color w:val="auto"/>
              </w:rPr>
              <w:t>31,551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5"/>
              <w:spacing w:after="0" w:line="157" w:lineRule="exact"/>
              <w:rPr>
                <w:sz w:val="20"/>
                <w:szCs w:val="20"/>
                <w:color w:val="auto"/>
              </w:rPr>
            </w:pPr>
            <w:r>
              <w:rPr>
                <w:rFonts w:ascii="Calibri" w:cs="Calibri" w:eastAsia="Calibri" w:hAnsi="Calibri"/>
                <w:sz w:val="13"/>
                <w:szCs w:val="13"/>
                <w:color w:val="auto"/>
                <w:w w:val="90"/>
              </w:rPr>
              <w:t>$</w:t>
            </w:r>
          </w:p>
        </w:tc>
        <w:tc>
          <w:tcPr>
            <w:tcW w:w="120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117,651</w:t>
            </w:r>
          </w:p>
        </w:tc>
        <w:tc>
          <w:tcPr>
            <w:tcW w:w="0" w:type="dxa"/>
            <w:vAlign w:val="bottom"/>
          </w:tcPr>
          <w:p>
            <w:pPr>
              <w:spacing w:after="0"/>
              <w:rPr>
                <w:sz w:val="1"/>
                <w:szCs w:val="1"/>
                <w:color w:val="auto"/>
              </w:rPr>
            </w:pPr>
          </w:p>
        </w:tc>
      </w:tr>
      <w:tr>
        <w:trPr>
          <w:trHeight w:val="164"/>
        </w:trPr>
        <w:tc>
          <w:tcPr>
            <w:tcW w:w="6460" w:type="dxa"/>
            <w:vAlign w:val="bottom"/>
            <w:gridSpan w:val="2"/>
          </w:tcPr>
          <w:p>
            <w:pPr>
              <w:spacing w:after="0" w:line="157" w:lineRule="exact"/>
              <w:rPr>
                <w:sz w:val="20"/>
                <w:szCs w:val="20"/>
                <w:color w:val="auto"/>
              </w:rPr>
            </w:pPr>
            <w:r>
              <w:rPr>
                <w:rFonts w:ascii="Calibri" w:cs="Calibri" w:eastAsia="Calibri" w:hAnsi="Calibri"/>
                <w:sz w:val="13"/>
                <w:szCs w:val="13"/>
                <w:color w:val="auto"/>
              </w:rPr>
              <w:t>Gross Proft</w:t>
            </w:r>
          </w:p>
        </w:tc>
        <w:tc>
          <w:tcPr>
            <w:tcW w:w="14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tcPr>
          <w:p>
            <w:pPr>
              <w:jc w:val="right"/>
              <w:ind w:right="75"/>
              <w:spacing w:after="0" w:line="157" w:lineRule="exact"/>
              <w:rPr>
                <w:sz w:val="20"/>
                <w:szCs w:val="20"/>
                <w:color w:val="auto"/>
              </w:rPr>
            </w:pPr>
            <w:r>
              <w:rPr>
                <w:rFonts w:ascii="Calibri" w:cs="Calibri" w:eastAsia="Calibri" w:hAnsi="Calibri"/>
                <w:sz w:val="13"/>
                <w:szCs w:val="13"/>
                <w:color w:val="auto"/>
              </w:rPr>
              <w:t>24,989</w:t>
            </w:r>
          </w:p>
        </w:tc>
        <w:tc>
          <w:tcPr>
            <w:tcW w:w="80" w:type="dxa"/>
            <w:vAlign w:val="bottom"/>
          </w:tcPr>
          <w:p>
            <w:pPr>
              <w:spacing w:after="0"/>
              <w:rPr>
                <w:sz w:val="14"/>
                <w:szCs w:val="14"/>
                <w:color w:val="auto"/>
              </w:rPr>
            </w:pPr>
          </w:p>
        </w:tc>
        <w:tc>
          <w:tcPr>
            <w:tcW w:w="14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tcPr>
          <w:p>
            <w:pPr>
              <w:jc w:val="right"/>
              <w:ind w:right="95"/>
              <w:spacing w:after="0" w:line="157" w:lineRule="exact"/>
              <w:rPr>
                <w:sz w:val="20"/>
                <w:szCs w:val="20"/>
                <w:color w:val="auto"/>
              </w:rPr>
            </w:pPr>
            <w:r>
              <w:rPr>
                <w:rFonts w:ascii="Calibri" w:cs="Calibri" w:eastAsia="Calibri" w:hAnsi="Calibri"/>
                <w:sz w:val="13"/>
                <w:szCs w:val="13"/>
                <w:color w:val="auto"/>
              </w:rPr>
              <w:t>20,003</w:t>
            </w:r>
          </w:p>
        </w:tc>
        <w:tc>
          <w:tcPr>
            <w:tcW w:w="80" w:type="dxa"/>
            <w:vAlign w:val="bottom"/>
          </w:tcPr>
          <w:p>
            <w:pPr>
              <w:spacing w:after="0"/>
              <w:rPr>
                <w:sz w:val="14"/>
                <w:szCs w:val="14"/>
                <w:color w:val="auto"/>
              </w:rPr>
            </w:pPr>
          </w:p>
        </w:tc>
        <w:tc>
          <w:tcPr>
            <w:tcW w:w="360" w:type="dxa"/>
            <w:vAlign w:val="bottom"/>
          </w:tcPr>
          <w:p>
            <w:pPr>
              <w:jc w:val="right"/>
              <w:ind w:right="215"/>
              <w:spacing w:after="0" w:line="157" w:lineRule="exact"/>
              <w:rPr>
                <w:sz w:val="20"/>
                <w:szCs w:val="20"/>
                <w:color w:val="auto"/>
              </w:rPr>
            </w:pPr>
            <w:r>
              <w:rPr>
                <w:rFonts w:ascii="Calibri" w:cs="Calibri" w:eastAsia="Calibri" w:hAnsi="Calibri"/>
                <w:sz w:val="13"/>
                <w:szCs w:val="13"/>
                <w:color w:val="auto"/>
                <w:w w:val="90"/>
              </w:rPr>
              <w:t>$</w:t>
            </w: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76,582</w:t>
            </w:r>
          </w:p>
        </w:tc>
        <w:tc>
          <w:tcPr>
            <w:tcW w:w="0" w:type="dxa"/>
            <w:vAlign w:val="bottom"/>
          </w:tcPr>
          <w:p>
            <w:pPr>
              <w:spacing w:after="0"/>
              <w:rPr>
                <w:sz w:val="1"/>
                <w:szCs w:val="1"/>
                <w:color w:val="auto"/>
              </w:rPr>
            </w:pPr>
          </w:p>
        </w:tc>
      </w:tr>
      <w:tr>
        <w:trPr>
          <w:trHeight w:val="178"/>
        </w:trPr>
        <w:tc>
          <w:tcPr>
            <w:tcW w:w="6460" w:type="dxa"/>
            <w:vAlign w:val="bottom"/>
            <w:gridSpan w:val="2"/>
            <w:shd w:val="clear" w:color="auto" w:fill="CCEEFF"/>
          </w:tcPr>
          <w:p>
            <w:pPr>
              <w:spacing w:after="0"/>
              <w:rPr>
                <w:sz w:val="20"/>
                <w:szCs w:val="20"/>
                <w:color w:val="auto"/>
              </w:rPr>
            </w:pPr>
            <w:r>
              <w:rPr>
                <w:rFonts w:ascii="Calibri" w:cs="Calibri" w:eastAsia="Calibri" w:hAnsi="Calibri"/>
                <w:sz w:val="13"/>
                <w:szCs w:val="13"/>
                <w:color w:val="auto"/>
              </w:rPr>
              <w:t>Gross Proft Margin</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74.0 %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63.4 %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65.1 %</w:t>
            </w:r>
          </w:p>
        </w:tc>
        <w:tc>
          <w:tcPr>
            <w:tcW w:w="0" w:type="dxa"/>
            <w:vAlign w:val="bottom"/>
          </w:tcPr>
          <w:p>
            <w:pPr>
              <w:spacing w:after="0"/>
              <w:rPr>
                <w:sz w:val="1"/>
                <w:szCs w:val="1"/>
                <w:color w:val="auto"/>
              </w:rPr>
            </w:pPr>
          </w:p>
        </w:tc>
      </w:tr>
      <w:tr>
        <w:trPr>
          <w:trHeight w:val="164"/>
        </w:trPr>
        <w:tc>
          <w:tcPr>
            <w:tcW w:w="6460" w:type="dxa"/>
            <w:vAlign w:val="bottom"/>
            <w:gridSpan w:val="2"/>
          </w:tcPr>
          <w:p>
            <w:pPr>
              <w:spacing w:after="0" w:line="157" w:lineRule="exact"/>
              <w:rPr>
                <w:sz w:val="20"/>
                <w:szCs w:val="20"/>
                <w:color w:val="auto"/>
              </w:rPr>
            </w:pPr>
            <w:r>
              <w:rPr>
                <w:rFonts w:ascii="Calibri" w:cs="Calibri" w:eastAsia="Calibri" w:hAnsi="Calibri"/>
                <w:sz w:val="13"/>
                <w:szCs w:val="13"/>
                <w:color w:val="auto"/>
              </w:rPr>
              <w:t>Gross Margin Adjustments: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460" w:type="dxa"/>
            <w:vAlign w:val="bottom"/>
            <w:gridSpan w:val="2"/>
            <w:shd w:val="clear" w:color="auto" w:fill="CCEEFF"/>
          </w:tcPr>
          <w:p>
            <w:pPr>
              <w:spacing w:after="0"/>
              <w:rPr>
                <w:sz w:val="20"/>
                <w:szCs w:val="20"/>
                <w:color w:val="auto"/>
              </w:rPr>
            </w:pPr>
            <w:r>
              <w:rPr>
                <w:rFonts w:ascii="Calibri" w:cs="Calibri" w:eastAsia="Calibri" w:hAnsi="Calibri"/>
                <w:sz w:val="13"/>
                <w:szCs w:val="13"/>
                <w:color w:val="auto"/>
              </w:rPr>
              <w:t>Amortzaton of the fair value of the related party liability</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55"/>
              <w:spacing w:after="0"/>
              <w:rPr>
                <w:sz w:val="20"/>
                <w:szCs w:val="20"/>
                <w:color w:val="auto"/>
              </w:rPr>
            </w:pPr>
            <w:r>
              <w:rPr>
                <w:rFonts w:ascii="Calibri" w:cs="Calibri" w:eastAsia="Calibri" w:hAnsi="Calibri"/>
                <w:sz w:val="13"/>
                <w:szCs w:val="13"/>
                <w:color w:val="auto"/>
              </w:rPr>
              <w:t>(316)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55"/>
              <w:spacing w:after="0"/>
              <w:rPr>
                <w:sz w:val="20"/>
                <w:szCs w:val="20"/>
                <w:color w:val="auto"/>
              </w:rPr>
            </w:pPr>
            <w:r>
              <w:rPr>
                <w:rFonts w:ascii="Calibri" w:cs="Calibri" w:eastAsia="Calibri" w:hAnsi="Calibri"/>
                <w:sz w:val="13"/>
                <w:szCs w:val="13"/>
                <w:color w:val="auto"/>
              </w:rPr>
              <w:t>(2,371)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54"/>
              <w:spacing w:after="0"/>
              <w:rPr>
                <w:sz w:val="20"/>
                <w:szCs w:val="20"/>
                <w:color w:val="auto"/>
              </w:rPr>
            </w:pPr>
            <w:r>
              <w:rPr>
                <w:rFonts w:ascii="Calibri" w:cs="Calibri" w:eastAsia="Calibri" w:hAnsi="Calibri"/>
                <w:sz w:val="13"/>
                <w:szCs w:val="13"/>
                <w:color w:val="auto"/>
              </w:rPr>
              <w:t>(4,058)</w:t>
            </w:r>
          </w:p>
        </w:tc>
        <w:tc>
          <w:tcPr>
            <w:tcW w:w="0" w:type="dxa"/>
            <w:vAlign w:val="bottom"/>
          </w:tcPr>
          <w:p>
            <w:pPr>
              <w:spacing w:after="0"/>
              <w:rPr>
                <w:sz w:val="1"/>
                <w:szCs w:val="1"/>
                <w:color w:val="auto"/>
              </w:rPr>
            </w:pPr>
          </w:p>
        </w:tc>
      </w:tr>
      <w:tr>
        <w:trPr>
          <w:trHeight w:val="164"/>
        </w:trPr>
        <w:tc>
          <w:tcPr>
            <w:tcW w:w="6460" w:type="dxa"/>
            <w:vAlign w:val="bottom"/>
            <w:tcBorders>
              <w:bottom w:val="single" w:sz="8" w:color="CCEEFF"/>
            </w:tcBorders>
            <w:gridSpan w:val="2"/>
          </w:tcPr>
          <w:p>
            <w:pPr>
              <w:spacing w:after="0" w:line="157" w:lineRule="exact"/>
              <w:rPr>
                <w:sz w:val="20"/>
                <w:szCs w:val="20"/>
                <w:color w:val="auto"/>
              </w:rPr>
            </w:pPr>
            <w:r>
              <w:rPr>
                <w:rFonts w:ascii="Calibri" w:cs="Calibri" w:eastAsia="Calibri" w:hAnsi="Calibri"/>
                <w:sz w:val="13"/>
                <w:szCs w:val="13"/>
                <w:color w:val="auto"/>
              </w:rPr>
              <w:t>Amortzaton impact of intangible assets</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5"/>
              <w:spacing w:after="0" w:line="157" w:lineRule="exact"/>
              <w:rPr>
                <w:sz w:val="20"/>
                <w:szCs w:val="20"/>
                <w:color w:val="auto"/>
              </w:rPr>
            </w:pPr>
            <w:r>
              <w:rPr>
                <w:rFonts w:ascii="Calibri" w:cs="Calibri" w:eastAsia="Calibri" w:hAnsi="Calibri"/>
                <w:sz w:val="13"/>
                <w:szCs w:val="13"/>
                <w:color w:val="auto"/>
              </w:rPr>
              <w:t>2,801</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95"/>
              <w:spacing w:after="0" w:line="157" w:lineRule="exact"/>
              <w:rPr>
                <w:sz w:val="20"/>
                <w:szCs w:val="20"/>
                <w:color w:val="auto"/>
              </w:rPr>
            </w:pPr>
            <w:r>
              <w:rPr>
                <w:rFonts w:ascii="Calibri" w:cs="Calibri" w:eastAsia="Calibri" w:hAnsi="Calibri"/>
                <w:sz w:val="13"/>
                <w:szCs w:val="13"/>
                <w:color w:val="auto"/>
              </w:rPr>
              <w:t>2,801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94"/>
              <w:spacing w:after="0" w:line="157" w:lineRule="exact"/>
              <w:rPr>
                <w:sz w:val="20"/>
                <w:szCs w:val="20"/>
                <w:color w:val="auto"/>
              </w:rPr>
            </w:pPr>
            <w:r>
              <w:rPr>
                <w:rFonts w:ascii="Calibri" w:cs="Calibri" w:eastAsia="Calibri" w:hAnsi="Calibri"/>
                <w:sz w:val="13"/>
                <w:szCs w:val="13"/>
                <w:color w:val="auto"/>
              </w:rPr>
              <w:t>11,205</w:t>
            </w:r>
          </w:p>
        </w:tc>
        <w:tc>
          <w:tcPr>
            <w:tcW w:w="0" w:type="dxa"/>
            <w:vAlign w:val="bottom"/>
          </w:tcPr>
          <w:p>
            <w:pPr>
              <w:spacing w:after="0"/>
              <w:rPr>
                <w:sz w:val="1"/>
                <w:szCs w:val="1"/>
                <w:color w:val="auto"/>
              </w:rPr>
            </w:pPr>
          </w:p>
        </w:tc>
      </w:tr>
      <w:tr>
        <w:trPr>
          <w:trHeight w:val="167"/>
        </w:trPr>
        <w:tc>
          <w:tcPr>
            <w:tcW w:w="6460" w:type="dxa"/>
            <w:vAlign w:val="bottom"/>
            <w:gridSpan w:val="2"/>
            <w:shd w:val="clear" w:color="auto" w:fill="CCEEFF"/>
          </w:tcPr>
          <w:p>
            <w:pPr>
              <w:spacing w:after="0" w:line="144" w:lineRule="exact"/>
              <w:rPr>
                <w:sz w:val="20"/>
                <w:szCs w:val="20"/>
                <w:color w:val="auto"/>
              </w:rPr>
            </w:pPr>
            <w:r>
              <w:rPr>
                <w:rFonts w:ascii="Calibri" w:cs="Calibri" w:eastAsia="Calibri" w:hAnsi="Calibri"/>
                <w:sz w:val="13"/>
                <w:szCs w:val="13"/>
                <w:color w:val="auto"/>
              </w:rPr>
              <w:t>Adjusted Gross Proft</w:t>
            </w: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75"/>
              <w:spacing w:after="0" w:line="157" w:lineRule="exact"/>
              <w:rPr>
                <w:sz w:val="20"/>
                <w:szCs w:val="20"/>
                <w:color w:val="auto"/>
              </w:rPr>
            </w:pPr>
            <w:r>
              <w:rPr>
                <w:rFonts w:ascii="Calibri" w:cs="Calibri" w:eastAsia="Calibri" w:hAnsi="Calibri"/>
                <w:sz w:val="13"/>
                <w:szCs w:val="13"/>
                <w:color w:val="auto"/>
              </w:rPr>
              <w:t>27,474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95"/>
              <w:spacing w:after="0" w:line="157" w:lineRule="exact"/>
              <w:rPr>
                <w:sz w:val="20"/>
                <w:szCs w:val="20"/>
                <w:color w:val="auto"/>
              </w:rPr>
            </w:pPr>
            <w:r>
              <w:rPr>
                <w:rFonts w:ascii="Calibri" w:cs="Calibri" w:eastAsia="Calibri" w:hAnsi="Calibri"/>
                <w:sz w:val="13"/>
                <w:szCs w:val="13"/>
                <w:color w:val="auto"/>
              </w:rPr>
              <w:t>20,433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5"/>
              <w:spacing w:after="0" w:line="157" w:lineRule="exact"/>
              <w:rPr>
                <w:sz w:val="20"/>
                <w:szCs w:val="20"/>
                <w:color w:val="auto"/>
              </w:rPr>
            </w:pPr>
            <w:r>
              <w:rPr>
                <w:rFonts w:ascii="Calibri" w:cs="Calibri" w:eastAsia="Calibri" w:hAnsi="Calibri"/>
                <w:sz w:val="13"/>
                <w:szCs w:val="13"/>
                <w:color w:val="auto"/>
                <w:w w:val="90"/>
              </w:rPr>
              <w:t>$</w:t>
            </w:r>
          </w:p>
        </w:tc>
        <w:tc>
          <w:tcPr>
            <w:tcW w:w="120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83,729</w:t>
            </w:r>
          </w:p>
        </w:tc>
        <w:tc>
          <w:tcPr>
            <w:tcW w:w="0" w:type="dxa"/>
            <w:vAlign w:val="bottom"/>
          </w:tcPr>
          <w:p>
            <w:pPr>
              <w:spacing w:after="0"/>
              <w:rPr>
                <w:sz w:val="1"/>
                <w:szCs w:val="1"/>
                <w:color w:val="auto"/>
              </w:rPr>
            </w:pPr>
          </w:p>
        </w:tc>
      </w:tr>
      <w:tr>
        <w:trPr>
          <w:trHeight w:val="157"/>
        </w:trPr>
        <w:tc>
          <w:tcPr>
            <w:tcW w:w="6460" w:type="dxa"/>
            <w:vAlign w:val="bottom"/>
            <w:gridSpan w:val="2"/>
          </w:tcPr>
          <w:p>
            <w:pPr>
              <w:spacing w:after="0" w:line="157" w:lineRule="exact"/>
              <w:rPr>
                <w:sz w:val="20"/>
                <w:szCs w:val="20"/>
                <w:color w:val="auto"/>
              </w:rPr>
            </w:pPr>
            <w:r>
              <w:rPr>
                <w:rFonts w:ascii="Calibri" w:cs="Calibri" w:eastAsia="Calibri" w:hAnsi="Calibri"/>
                <w:sz w:val="13"/>
                <w:szCs w:val="13"/>
                <w:color w:val="auto"/>
              </w:rPr>
              <w:t>Adjusted Gross Margin %</w:t>
            </w:r>
          </w:p>
        </w:tc>
        <w:tc>
          <w:tcPr>
            <w:tcW w:w="14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Calibri" w:cs="Calibri" w:eastAsia="Calibri" w:hAnsi="Calibri"/>
                <w:sz w:val="13"/>
                <w:szCs w:val="13"/>
                <w:color w:val="auto"/>
              </w:rPr>
              <w:t>81.4 %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Calibri" w:cs="Calibri" w:eastAsia="Calibri" w:hAnsi="Calibri"/>
                <w:sz w:val="13"/>
                <w:szCs w:val="13"/>
                <w:color w:val="auto"/>
              </w:rPr>
              <w:t>64.8 %</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Calibri" w:cs="Calibri" w:eastAsia="Calibri" w:hAnsi="Calibri"/>
                <w:sz w:val="13"/>
                <w:szCs w:val="13"/>
                <w:color w:val="auto"/>
              </w:rPr>
              <w:t>71.2 %</w:t>
            </w:r>
          </w:p>
        </w:tc>
        <w:tc>
          <w:tcPr>
            <w:tcW w:w="0" w:type="dxa"/>
            <w:vAlign w:val="bottom"/>
          </w:tcPr>
          <w:p>
            <w:pPr>
              <w:spacing w:after="0"/>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gridSpan w:val="2"/>
          </w:tcPr>
          <w:p>
            <w:pPr>
              <w:jc w:val="center"/>
              <w:ind w:right="220"/>
              <w:spacing w:after="0"/>
              <w:rPr>
                <w:sz w:val="20"/>
                <w:szCs w:val="20"/>
                <w:color w:val="auto"/>
              </w:rPr>
            </w:pPr>
            <w:r>
              <w:rPr>
                <w:rFonts w:ascii="Calibri" w:cs="Calibri" w:eastAsia="Calibri" w:hAnsi="Calibri"/>
                <w:sz w:val="13"/>
                <w:szCs w:val="13"/>
                <w:b w:val="1"/>
                <w:bCs w:val="1"/>
                <w:color w:val="auto"/>
              </w:rPr>
              <w:t>Milk Makeup</w:t>
            </w: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r>
      <w:tr>
        <w:trPr>
          <w:trHeight w:val="105"/>
        </w:trPr>
        <w:tc>
          <w:tcPr>
            <w:tcW w:w="6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2"/>
          </w:tcPr>
          <w:p>
            <w:pPr>
              <w:jc w:val="center"/>
              <w:ind w:right="220"/>
              <w:spacing w:after="0" w:line="105" w:lineRule="exact"/>
              <w:rPr>
                <w:sz w:val="20"/>
                <w:szCs w:val="20"/>
                <w:color w:val="auto"/>
              </w:rPr>
            </w:pPr>
            <w:r>
              <w:rPr>
                <w:rFonts w:ascii="Calibri" w:cs="Calibri" w:eastAsia="Calibri" w:hAnsi="Calibri"/>
                <w:sz w:val="11"/>
                <w:szCs w:val="11"/>
                <w:b w:val="1"/>
                <w:bCs w:val="1"/>
                <w:color w:val="auto"/>
              </w:rPr>
              <w:t>Three Months Ended</w:t>
            </w:r>
          </w:p>
        </w:tc>
        <w:tc>
          <w:tcPr>
            <w:tcW w:w="140" w:type="dxa"/>
            <w:vAlign w:val="bottom"/>
          </w:tcPr>
          <w:p>
            <w:pPr>
              <w:spacing w:after="0"/>
              <w:rPr>
                <w:sz w:val="9"/>
                <w:szCs w:val="9"/>
                <w:color w:val="auto"/>
              </w:rPr>
            </w:pPr>
          </w:p>
        </w:tc>
        <w:tc>
          <w:tcPr>
            <w:tcW w:w="1500" w:type="dxa"/>
            <w:vAlign w:val="bottom"/>
            <w:gridSpan w:val="2"/>
          </w:tcPr>
          <w:p>
            <w:pPr>
              <w:jc w:val="center"/>
              <w:ind w:right="220"/>
              <w:spacing w:after="0" w:line="105" w:lineRule="exact"/>
              <w:rPr>
                <w:sz w:val="20"/>
                <w:szCs w:val="20"/>
                <w:color w:val="auto"/>
              </w:rPr>
            </w:pPr>
            <w:r>
              <w:rPr>
                <w:rFonts w:ascii="Calibri" w:cs="Calibri" w:eastAsia="Calibri" w:hAnsi="Calibri"/>
                <w:sz w:val="11"/>
                <w:szCs w:val="11"/>
                <w:b w:val="1"/>
                <w:bCs w:val="1"/>
                <w:color w:val="auto"/>
              </w:rPr>
              <w:t>Three Months Ended</w:t>
            </w:r>
          </w:p>
        </w:tc>
        <w:tc>
          <w:tcPr>
            <w:tcW w:w="1560" w:type="dxa"/>
            <w:vAlign w:val="bottom"/>
            <w:gridSpan w:val="2"/>
          </w:tcPr>
          <w:p>
            <w:pPr>
              <w:jc w:val="right"/>
              <w:spacing w:after="0" w:line="105" w:lineRule="exact"/>
              <w:rPr>
                <w:sz w:val="20"/>
                <w:szCs w:val="20"/>
                <w:color w:val="auto"/>
              </w:rPr>
            </w:pPr>
            <w:r>
              <w:rPr>
                <w:rFonts w:ascii="Calibri" w:cs="Calibri" w:eastAsia="Calibri" w:hAnsi="Calibri"/>
                <w:sz w:val="11"/>
                <w:szCs w:val="11"/>
                <w:b w:val="1"/>
                <w:bCs w:val="1"/>
                <w:color w:val="auto"/>
              </w:rPr>
              <w:t>Year Ended December 31,</w:t>
            </w:r>
          </w:p>
        </w:tc>
      </w:tr>
      <w:tr>
        <w:trPr>
          <w:trHeight w:val="157"/>
        </w:trPr>
        <w:tc>
          <w:tcPr>
            <w:tcW w:w="6460" w:type="dxa"/>
            <w:vAlign w:val="bottom"/>
            <w:gridSpan w:val="2"/>
          </w:tcPr>
          <w:p>
            <w:pPr>
              <w:spacing w:after="0" w:line="157" w:lineRule="exact"/>
              <w:rPr>
                <w:sz w:val="20"/>
                <w:szCs w:val="20"/>
                <w:color w:val="auto"/>
              </w:rPr>
            </w:pPr>
            <w:r>
              <w:rPr>
                <w:rFonts w:ascii="Calibri" w:cs="Calibri" w:eastAsia="Calibri" w:hAnsi="Calibri"/>
                <w:sz w:val="13"/>
                <w:szCs w:val="13"/>
                <w:i w:val="1"/>
                <w:iCs w:val="1"/>
                <w:color w:val="auto"/>
              </w:rPr>
              <w:t>U.S. Dollars (in thousands except for percentages)</w:t>
            </w:r>
          </w:p>
        </w:tc>
        <w:tc>
          <w:tcPr>
            <w:tcW w:w="140" w:type="dxa"/>
            <w:vAlign w:val="bottom"/>
          </w:tcPr>
          <w:p>
            <w:pPr>
              <w:spacing w:after="0"/>
              <w:rPr>
                <w:sz w:val="13"/>
                <w:szCs w:val="13"/>
                <w:color w:val="auto"/>
              </w:rPr>
            </w:pPr>
          </w:p>
        </w:tc>
        <w:tc>
          <w:tcPr>
            <w:tcW w:w="1500" w:type="dxa"/>
            <w:vAlign w:val="bottom"/>
            <w:gridSpan w:val="2"/>
          </w:tcPr>
          <w:p>
            <w:pPr>
              <w:jc w:val="center"/>
              <w:ind w:right="220"/>
              <w:spacing w:after="0" w:line="157" w:lineRule="exact"/>
              <w:rPr>
                <w:sz w:val="20"/>
                <w:szCs w:val="20"/>
                <w:color w:val="auto"/>
              </w:rPr>
            </w:pPr>
            <w:r>
              <w:rPr>
                <w:rFonts w:ascii="Calibri" w:cs="Calibri" w:eastAsia="Calibri" w:hAnsi="Calibri"/>
                <w:sz w:val="13"/>
                <w:szCs w:val="13"/>
                <w:b w:val="1"/>
                <w:bCs w:val="1"/>
                <w:color w:val="auto"/>
              </w:rPr>
              <w:t>March 31, 2024</w:t>
            </w:r>
          </w:p>
        </w:tc>
        <w:tc>
          <w:tcPr>
            <w:tcW w:w="140" w:type="dxa"/>
            <w:vAlign w:val="bottom"/>
          </w:tcPr>
          <w:p>
            <w:pPr>
              <w:spacing w:after="0"/>
              <w:rPr>
                <w:sz w:val="13"/>
                <w:szCs w:val="13"/>
                <w:color w:val="auto"/>
              </w:rPr>
            </w:pPr>
          </w:p>
        </w:tc>
        <w:tc>
          <w:tcPr>
            <w:tcW w:w="1500" w:type="dxa"/>
            <w:vAlign w:val="bottom"/>
            <w:gridSpan w:val="2"/>
          </w:tcPr>
          <w:p>
            <w:pPr>
              <w:jc w:val="center"/>
              <w:ind w:right="220"/>
              <w:spacing w:after="0" w:line="157" w:lineRule="exact"/>
              <w:rPr>
                <w:sz w:val="20"/>
                <w:szCs w:val="20"/>
                <w:color w:val="auto"/>
              </w:rPr>
            </w:pPr>
            <w:r>
              <w:rPr>
                <w:rFonts w:ascii="Calibri" w:cs="Calibri" w:eastAsia="Calibri" w:hAnsi="Calibri"/>
                <w:sz w:val="13"/>
                <w:szCs w:val="13"/>
                <w:b w:val="1"/>
                <w:bCs w:val="1"/>
                <w:color w:val="auto"/>
              </w:rPr>
              <w:t>March 31, 2023</w:t>
            </w:r>
          </w:p>
        </w:tc>
        <w:tc>
          <w:tcPr>
            <w:tcW w:w="360" w:type="dxa"/>
            <w:vAlign w:val="bottom"/>
          </w:tcPr>
          <w:p>
            <w:pPr>
              <w:spacing w:after="0"/>
              <w:rPr>
                <w:sz w:val="13"/>
                <w:szCs w:val="13"/>
                <w:color w:val="auto"/>
              </w:rPr>
            </w:pPr>
          </w:p>
        </w:tc>
        <w:tc>
          <w:tcPr>
            <w:tcW w:w="1200" w:type="dxa"/>
            <w:vAlign w:val="bottom"/>
          </w:tcPr>
          <w:p>
            <w:pPr>
              <w:jc w:val="right"/>
              <w:ind w:right="574"/>
              <w:spacing w:after="0" w:line="157" w:lineRule="exact"/>
              <w:rPr>
                <w:sz w:val="20"/>
                <w:szCs w:val="20"/>
                <w:color w:val="auto"/>
              </w:rPr>
            </w:pPr>
            <w:r>
              <w:rPr>
                <w:rFonts w:ascii="Calibri" w:cs="Calibri" w:eastAsia="Calibri" w:hAnsi="Calibri"/>
                <w:sz w:val="13"/>
                <w:szCs w:val="13"/>
                <w:b w:val="1"/>
                <w:bCs w:val="1"/>
                <w:color w:val="auto"/>
              </w:rPr>
              <w:t>2023</w:t>
            </w:r>
          </w:p>
        </w:tc>
      </w:tr>
      <w:tr>
        <w:trPr>
          <w:trHeight w:val="31"/>
        </w:trPr>
        <w:tc>
          <w:tcPr>
            <w:tcW w:w="6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6380" w:type="dxa"/>
            <w:vAlign w:val="bottom"/>
            <w:shd w:val="clear" w:color="auto" w:fill="CCEEFF"/>
          </w:tcPr>
          <w:p>
            <w:pPr>
              <w:spacing w:after="0" w:line="157" w:lineRule="exact"/>
              <w:rPr>
                <w:sz w:val="20"/>
                <w:szCs w:val="20"/>
                <w:color w:val="auto"/>
              </w:rPr>
            </w:pPr>
            <w:r>
              <w:rPr>
                <w:rFonts w:ascii="Calibri" w:cs="Calibri" w:eastAsia="Calibri" w:hAnsi="Calibri"/>
                <w:sz w:val="13"/>
                <w:szCs w:val="13"/>
                <w:color w:val="auto"/>
              </w:rPr>
              <w:t>Net Revenue</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75"/>
              <w:spacing w:after="0" w:line="157" w:lineRule="exact"/>
              <w:rPr>
                <w:sz w:val="20"/>
                <w:szCs w:val="20"/>
                <w:color w:val="auto"/>
              </w:rPr>
            </w:pPr>
            <w:r>
              <w:rPr>
                <w:rFonts w:ascii="Calibri" w:cs="Calibri" w:eastAsia="Calibri" w:hAnsi="Calibri"/>
                <w:sz w:val="13"/>
                <w:szCs w:val="13"/>
                <w:color w:val="auto"/>
              </w:rPr>
              <w:t>34,503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shd w:val="clear" w:color="auto" w:fill="CCEEFF"/>
          </w:tcPr>
          <w:p>
            <w:pPr>
              <w:jc w:val="right"/>
              <w:ind w:right="95"/>
              <w:spacing w:after="0" w:line="157" w:lineRule="exact"/>
              <w:rPr>
                <w:sz w:val="20"/>
                <w:szCs w:val="20"/>
                <w:color w:val="auto"/>
              </w:rPr>
            </w:pPr>
            <w:r>
              <w:rPr>
                <w:rFonts w:ascii="Calibri" w:cs="Calibri" w:eastAsia="Calibri" w:hAnsi="Calibri"/>
                <w:sz w:val="13"/>
                <w:szCs w:val="13"/>
                <w:color w:val="auto"/>
              </w:rPr>
              <w:t>28,402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7"/>
              <w:spacing w:after="0" w:line="157" w:lineRule="exact"/>
              <w:rPr>
                <w:sz w:val="20"/>
                <w:szCs w:val="20"/>
                <w:color w:val="auto"/>
              </w:rPr>
            </w:pPr>
            <w:r>
              <w:rPr>
                <w:rFonts w:ascii="Calibri" w:cs="Calibri" w:eastAsia="Calibri" w:hAnsi="Calibri"/>
                <w:sz w:val="13"/>
                <w:szCs w:val="13"/>
                <w:color w:val="auto"/>
                <w:w w:val="90"/>
              </w:rPr>
              <w:t>$</w:t>
            </w:r>
          </w:p>
        </w:tc>
        <w:tc>
          <w:tcPr>
            <w:tcW w:w="1200" w:type="dxa"/>
            <w:vAlign w:val="bottom"/>
            <w:shd w:val="clear" w:color="auto" w:fill="CCEEFF"/>
          </w:tcPr>
          <w:p>
            <w:pPr>
              <w:jc w:val="right"/>
              <w:ind w:right="94"/>
              <w:spacing w:after="0" w:line="157" w:lineRule="exact"/>
              <w:rPr>
                <w:sz w:val="20"/>
                <w:szCs w:val="20"/>
                <w:color w:val="auto"/>
              </w:rPr>
            </w:pPr>
            <w:r>
              <w:rPr>
                <w:rFonts w:ascii="Calibri" w:cs="Calibri" w:eastAsia="Calibri" w:hAnsi="Calibri"/>
                <w:sz w:val="13"/>
                <w:szCs w:val="13"/>
                <w:color w:val="auto"/>
              </w:rPr>
              <w:t>100,487</w:t>
            </w:r>
          </w:p>
        </w:tc>
      </w:tr>
      <w:tr>
        <w:trPr>
          <w:trHeight w:val="164"/>
        </w:trPr>
        <w:tc>
          <w:tcPr>
            <w:tcW w:w="6460" w:type="dxa"/>
            <w:vAlign w:val="bottom"/>
            <w:gridSpan w:val="2"/>
          </w:tcPr>
          <w:p>
            <w:pPr>
              <w:spacing w:after="0" w:line="157" w:lineRule="exact"/>
              <w:rPr>
                <w:sz w:val="20"/>
                <w:szCs w:val="20"/>
                <w:color w:val="auto"/>
              </w:rPr>
            </w:pPr>
            <w:r>
              <w:rPr>
                <w:rFonts w:ascii="Calibri" w:cs="Calibri" w:eastAsia="Calibri" w:hAnsi="Calibri"/>
                <w:sz w:val="13"/>
                <w:szCs w:val="13"/>
                <w:color w:val="auto"/>
              </w:rPr>
              <w:t>Gross Proft</w:t>
            </w:r>
          </w:p>
        </w:tc>
        <w:tc>
          <w:tcPr>
            <w:tcW w:w="14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tcPr>
          <w:p>
            <w:pPr>
              <w:jc w:val="right"/>
              <w:ind w:right="75"/>
              <w:spacing w:after="0" w:line="157" w:lineRule="exact"/>
              <w:rPr>
                <w:sz w:val="20"/>
                <w:szCs w:val="20"/>
                <w:color w:val="auto"/>
              </w:rPr>
            </w:pPr>
            <w:r>
              <w:rPr>
                <w:rFonts w:ascii="Calibri" w:cs="Calibri" w:eastAsia="Calibri" w:hAnsi="Calibri"/>
                <w:sz w:val="13"/>
                <w:szCs w:val="13"/>
                <w:color w:val="auto"/>
              </w:rPr>
              <w:t>24,597</w:t>
            </w:r>
          </w:p>
        </w:tc>
        <w:tc>
          <w:tcPr>
            <w:tcW w:w="80" w:type="dxa"/>
            <w:vAlign w:val="bottom"/>
          </w:tcPr>
          <w:p>
            <w:pPr>
              <w:spacing w:after="0"/>
              <w:rPr>
                <w:sz w:val="14"/>
                <w:szCs w:val="14"/>
                <w:color w:val="auto"/>
              </w:rPr>
            </w:pPr>
          </w:p>
        </w:tc>
        <w:tc>
          <w:tcPr>
            <w:tcW w:w="140" w:type="dxa"/>
            <w:vAlign w:val="bottom"/>
          </w:tcPr>
          <w:p>
            <w:pPr>
              <w:jc w:val="right"/>
              <w:spacing w:after="0" w:line="157" w:lineRule="exact"/>
              <w:rPr>
                <w:sz w:val="20"/>
                <w:szCs w:val="20"/>
                <w:color w:val="auto"/>
              </w:rPr>
            </w:pPr>
            <w:r>
              <w:rPr>
                <w:rFonts w:ascii="Calibri" w:cs="Calibri" w:eastAsia="Calibri" w:hAnsi="Calibri"/>
                <w:sz w:val="13"/>
                <w:szCs w:val="13"/>
                <w:color w:val="auto"/>
                <w:w w:val="90"/>
              </w:rPr>
              <w:t>$</w:t>
            </w:r>
          </w:p>
        </w:tc>
        <w:tc>
          <w:tcPr>
            <w:tcW w:w="1420" w:type="dxa"/>
            <w:vAlign w:val="bottom"/>
          </w:tcPr>
          <w:p>
            <w:pPr>
              <w:jc w:val="right"/>
              <w:ind w:right="95"/>
              <w:spacing w:after="0" w:line="157" w:lineRule="exact"/>
              <w:rPr>
                <w:sz w:val="20"/>
                <w:szCs w:val="20"/>
                <w:color w:val="auto"/>
              </w:rPr>
            </w:pPr>
            <w:r>
              <w:rPr>
                <w:rFonts w:ascii="Calibri" w:cs="Calibri" w:eastAsia="Calibri" w:hAnsi="Calibri"/>
                <w:sz w:val="13"/>
                <w:szCs w:val="13"/>
                <w:color w:val="auto"/>
              </w:rPr>
              <w:t>17,026</w:t>
            </w:r>
          </w:p>
        </w:tc>
        <w:tc>
          <w:tcPr>
            <w:tcW w:w="80" w:type="dxa"/>
            <w:vAlign w:val="bottom"/>
          </w:tcPr>
          <w:p>
            <w:pPr>
              <w:spacing w:after="0"/>
              <w:rPr>
                <w:sz w:val="14"/>
                <w:szCs w:val="14"/>
                <w:color w:val="auto"/>
              </w:rPr>
            </w:pPr>
          </w:p>
        </w:tc>
        <w:tc>
          <w:tcPr>
            <w:tcW w:w="360" w:type="dxa"/>
            <w:vAlign w:val="bottom"/>
          </w:tcPr>
          <w:p>
            <w:pPr>
              <w:jc w:val="right"/>
              <w:ind w:right="217"/>
              <w:spacing w:after="0" w:line="157" w:lineRule="exact"/>
              <w:rPr>
                <w:sz w:val="20"/>
                <w:szCs w:val="20"/>
                <w:color w:val="auto"/>
              </w:rPr>
            </w:pPr>
            <w:r>
              <w:rPr>
                <w:rFonts w:ascii="Calibri" w:cs="Calibri" w:eastAsia="Calibri" w:hAnsi="Calibri"/>
                <w:sz w:val="13"/>
                <w:szCs w:val="13"/>
                <w:color w:val="auto"/>
                <w:w w:val="90"/>
              </w:rPr>
              <w:t>$</w:t>
            </w:r>
          </w:p>
        </w:tc>
        <w:tc>
          <w:tcPr>
            <w:tcW w:w="1200" w:type="dxa"/>
            <w:vAlign w:val="bottom"/>
          </w:tcPr>
          <w:p>
            <w:pPr>
              <w:jc w:val="right"/>
              <w:ind w:right="94"/>
              <w:spacing w:after="0" w:line="157" w:lineRule="exact"/>
              <w:rPr>
                <w:sz w:val="20"/>
                <w:szCs w:val="20"/>
                <w:color w:val="auto"/>
              </w:rPr>
            </w:pPr>
            <w:r>
              <w:rPr>
                <w:rFonts w:ascii="Calibri" w:cs="Calibri" w:eastAsia="Calibri" w:hAnsi="Calibri"/>
                <w:sz w:val="13"/>
                <w:szCs w:val="13"/>
                <w:color w:val="auto"/>
              </w:rPr>
              <w:t>64,995</w:t>
            </w:r>
          </w:p>
        </w:tc>
      </w:tr>
      <w:tr>
        <w:trPr>
          <w:trHeight w:val="178"/>
        </w:trPr>
        <w:tc>
          <w:tcPr>
            <w:tcW w:w="6460" w:type="dxa"/>
            <w:vAlign w:val="bottom"/>
            <w:gridSpan w:val="2"/>
            <w:shd w:val="clear" w:color="auto" w:fill="CCEEFF"/>
          </w:tcPr>
          <w:p>
            <w:pPr>
              <w:spacing w:after="0"/>
              <w:rPr>
                <w:sz w:val="20"/>
                <w:szCs w:val="20"/>
                <w:color w:val="auto"/>
              </w:rPr>
            </w:pPr>
            <w:r>
              <w:rPr>
                <w:rFonts w:ascii="Calibri" w:cs="Calibri" w:eastAsia="Calibri" w:hAnsi="Calibri"/>
                <w:sz w:val="13"/>
                <w:szCs w:val="13"/>
                <w:color w:val="auto"/>
              </w:rPr>
              <w:t>Gross Proft Margin</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71.3 %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59.9 %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64.7 %</w:t>
            </w:r>
          </w:p>
        </w:tc>
      </w:tr>
      <w:tr>
        <w:trPr>
          <w:trHeight w:val="164"/>
        </w:trPr>
        <w:tc>
          <w:tcPr>
            <w:tcW w:w="6460" w:type="dxa"/>
            <w:vAlign w:val="bottom"/>
            <w:gridSpan w:val="2"/>
          </w:tcPr>
          <w:p>
            <w:pPr>
              <w:spacing w:after="0" w:line="157" w:lineRule="exact"/>
              <w:rPr>
                <w:sz w:val="20"/>
                <w:szCs w:val="20"/>
                <w:color w:val="auto"/>
              </w:rPr>
            </w:pPr>
            <w:r>
              <w:rPr>
                <w:rFonts w:ascii="Calibri" w:cs="Calibri" w:eastAsia="Calibri" w:hAnsi="Calibri"/>
                <w:sz w:val="13"/>
                <w:szCs w:val="13"/>
                <w:color w:val="auto"/>
              </w:rPr>
              <w:t>Gross Margin Adjustments: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8"/>
        </w:trPr>
        <w:tc>
          <w:tcPr>
            <w:tcW w:w="6460" w:type="dxa"/>
            <w:vAlign w:val="bottom"/>
            <w:gridSpan w:val="2"/>
            <w:shd w:val="clear" w:color="auto" w:fill="CCEEFF"/>
          </w:tcPr>
          <w:p>
            <w:pPr>
              <w:spacing w:after="0"/>
              <w:rPr>
                <w:sz w:val="20"/>
                <w:szCs w:val="20"/>
                <w:color w:val="auto"/>
              </w:rPr>
            </w:pPr>
            <w:r>
              <w:rPr>
                <w:rFonts w:ascii="Calibri" w:cs="Calibri" w:eastAsia="Calibri" w:hAnsi="Calibri"/>
                <w:sz w:val="13"/>
                <w:szCs w:val="13"/>
                <w:color w:val="auto"/>
              </w:rPr>
              <w:t>Amortzaton of the inventory fair value adjustment</w:t>
            </w:r>
          </w:p>
        </w:tc>
        <w:tc>
          <w:tcPr>
            <w:tcW w:w="1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40"/>
              <w:spacing w:after="0"/>
              <w:rPr>
                <w:sz w:val="20"/>
                <w:szCs w:val="20"/>
                <w:color w:val="auto"/>
              </w:rPr>
            </w:pPr>
            <w:r>
              <w:rPr>
                <w:rFonts w:ascii="Calibri" w:cs="Calibri" w:eastAsia="Calibri" w:hAnsi="Calibri"/>
                <w:sz w:val="13"/>
                <w:szCs w:val="13"/>
                <w:color w:val="auto"/>
              </w:rPr>
              <w:t>—</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95"/>
              <w:spacing w:after="0"/>
              <w:rPr>
                <w:sz w:val="20"/>
                <w:szCs w:val="20"/>
                <w:color w:val="auto"/>
              </w:rPr>
            </w:pPr>
            <w:r>
              <w:rPr>
                <w:rFonts w:ascii="Calibri" w:cs="Calibri" w:eastAsia="Calibri" w:hAnsi="Calibri"/>
                <w:sz w:val="13"/>
                <w:szCs w:val="13"/>
                <w:color w:val="auto"/>
              </w:rPr>
              <w:t>1,691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94"/>
              <w:spacing w:after="0"/>
              <w:rPr>
                <w:sz w:val="20"/>
                <w:szCs w:val="20"/>
                <w:color w:val="auto"/>
              </w:rPr>
            </w:pPr>
            <w:r>
              <w:rPr>
                <w:rFonts w:ascii="Calibri" w:cs="Calibri" w:eastAsia="Calibri" w:hAnsi="Calibri"/>
                <w:sz w:val="13"/>
                <w:szCs w:val="13"/>
                <w:color w:val="auto"/>
              </w:rPr>
              <w:t>1,691</w:t>
            </w:r>
          </w:p>
        </w:tc>
      </w:tr>
      <w:tr>
        <w:trPr>
          <w:trHeight w:val="153"/>
        </w:trPr>
        <w:tc>
          <w:tcPr>
            <w:tcW w:w="6460" w:type="dxa"/>
            <w:vAlign w:val="bottom"/>
            <w:gridSpan w:val="2"/>
          </w:tcPr>
          <w:p>
            <w:pPr>
              <w:spacing w:after="0" w:line="137" w:lineRule="exact"/>
              <w:rPr>
                <w:sz w:val="20"/>
                <w:szCs w:val="20"/>
                <w:color w:val="auto"/>
              </w:rPr>
            </w:pPr>
            <w:r>
              <w:rPr>
                <w:rFonts w:ascii="Calibri" w:cs="Calibri" w:eastAsia="Calibri" w:hAnsi="Calibri"/>
                <w:sz w:val="13"/>
                <w:szCs w:val="13"/>
                <w:color w:val="auto"/>
              </w:rPr>
              <w:t>Adjusted Gross Proft</w:t>
            </w:r>
          </w:p>
        </w:tc>
        <w:tc>
          <w:tcPr>
            <w:tcW w:w="140" w:type="dxa"/>
            <w:vAlign w:val="bottom"/>
            <w:tcBorders>
              <w:top w:val="single" w:sz="8" w:color="auto"/>
            </w:tcBorders>
          </w:tcPr>
          <w:p>
            <w:pPr>
              <w:jc w:val="right"/>
              <w:spacing w:after="0" w:line="153" w:lineRule="exact"/>
              <w:rPr>
                <w:sz w:val="20"/>
                <w:szCs w:val="20"/>
                <w:color w:val="auto"/>
              </w:rPr>
            </w:pPr>
            <w:r>
              <w:rPr>
                <w:rFonts w:ascii="Calibri" w:cs="Calibri" w:eastAsia="Calibri" w:hAnsi="Calibri"/>
                <w:sz w:val="13"/>
                <w:szCs w:val="13"/>
                <w:color w:val="auto"/>
                <w:w w:val="90"/>
              </w:rPr>
              <w:t>$</w:t>
            </w:r>
          </w:p>
        </w:tc>
        <w:tc>
          <w:tcPr>
            <w:tcW w:w="1420" w:type="dxa"/>
            <w:vAlign w:val="bottom"/>
            <w:tcBorders>
              <w:top w:val="single" w:sz="8" w:color="auto"/>
            </w:tcBorders>
          </w:tcPr>
          <w:p>
            <w:pPr>
              <w:jc w:val="right"/>
              <w:ind w:right="75"/>
              <w:spacing w:after="0" w:line="153" w:lineRule="exact"/>
              <w:rPr>
                <w:sz w:val="20"/>
                <w:szCs w:val="20"/>
                <w:color w:val="auto"/>
              </w:rPr>
            </w:pPr>
            <w:r>
              <w:rPr>
                <w:rFonts w:ascii="Calibri" w:cs="Calibri" w:eastAsia="Calibri" w:hAnsi="Calibri"/>
                <w:sz w:val="13"/>
                <w:szCs w:val="13"/>
                <w:color w:val="auto"/>
              </w:rPr>
              <w:t>24,597</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3" w:lineRule="exact"/>
              <w:rPr>
                <w:sz w:val="20"/>
                <w:szCs w:val="20"/>
                <w:color w:val="auto"/>
              </w:rPr>
            </w:pPr>
            <w:r>
              <w:rPr>
                <w:rFonts w:ascii="Calibri" w:cs="Calibri" w:eastAsia="Calibri" w:hAnsi="Calibri"/>
                <w:sz w:val="13"/>
                <w:szCs w:val="13"/>
                <w:color w:val="auto"/>
                <w:w w:val="90"/>
              </w:rPr>
              <w:t>$</w:t>
            </w:r>
          </w:p>
        </w:tc>
        <w:tc>
          <w:tcPr>
            <w:tcW w:w="1420" w:type="dxa"/>
            <w:vAlign w:val="bottom"/>
            <w:tcBorders>
              <w:top w:val="single" w:sz="8" w:color="auto"/>
            </w:tcBorders>
          </w:tcPr>
          <w:p>
            <w:pPr>
              <w:jc w:val="right"/>
              <w:ind w:right="95"/>
              <w:spacing w:after="0" w:line="153" w:lineRule="exact"/>
              <w:rPr>
                <w:sz w:val="20"/>
                <w:szCs w:val="20"/>
                <w:color w:val="auto"/>
              </w:rPr>
            </w:pPr>
            <w:r>
              <w:rPr>
                <w:rFonts w:ascii="Calibri" w:cs="Calibri" w:eastAsia="Calibri" w:hAnsi="Calibri"/>
                <w:sz w:val="13"/>
                <w:szCs w:val="13"/>
                <w:color w:val="auto"/>
              </w:rPr>
              <w:t>18,717</w:t>
            </w:r>
          </w:p>
        </w:tc>
        <w:tc>
          <w:tcPr>
            <w:tcW w:w="80" w:type="dxa"/>
            <w:vAlign w:val="bottom"/>
          </w:tcPr>
          <w:p>
            <w:pPr>
              <w:spacing w:after="0"/>
              <w:rPr>
                <w:sz w:val="13"/>
                <w:szCs w:val="13"/>
                <w:color w:val="auto"/>
              </w:rPr>
            </w:pPr>
          </w:p>
        </w:tc>
        <w:tc>
          <w:tcPr>
            <w:tcW w:w="360" w:type="dxa"/>
            <w:vAlign w:val="bottom"/>
            <w:tcBorders>
              <w:top w:val="single" w:sz="8" w:color="auto"/>
            </w:tcBorders>
          </w:tcPr>
          <w:p>
            <w:pPr>
              <w:jc w:val="right"/>
              <w:ind w:right="217"/>
              <w:spacing w:after="0" w:line="153" w:lineRule="exact"/>
              <w:rPr>
                <w:sz w:val="20"/>
                <w:szCs w:val="20"/>
                <w:color w:val="auto"/>
              </w:rPr>
            </w:pPr>
            <w:r>
              <w:rPr>
                <w:rFonts w:ascii="Calibri" w:cs="Calibri" w:eastAsia="Calibri" w:hAnsi="Calibri"/>
                <w:sz w:val="13"/>
                <w:szCs w:val="13"/>
                <w:color w:val="auto"/>
                <w:w w:val="90"/>
              </w:rPr>
              <w:t>$</w:t>
            </w:r>
          </w:p>
        </w:tc>
        <w:tc>
          <w:tcPr>
            <w:tcW w:w="1200" w:type="dxa"/>
            <w:vAlign w:val="bottom"/>
            <w:tcBorders>
              <w:top w:val="single" w:sz="8" w:color="auto"/>
            </w:tcBorders>
          </w:tcPr>
          <w:p>
            <w:pPr>
              <w:jc w:val="right"/>
              <w:ind w:right="94"/>
              <w:spacing w:after="0" w:line="153" w:lineRule="exact"/>
              <w:rPr>
                <w:sz w:val="20"/>
                <w:szCs w:val="20"/>
                <w:color w:val="auto"/>
              </w:rPr>
            </w:pPr>
            <w:r>
              <w:rPr>
                <w:rFonts w:ascii="Calibri" w:cs="Calibri" w:eastAsia="Calibri" w:hAnsi="Calibri"/>
                <w:sz w:val="13"/>
                <w:szCs w:val="13"/>
                <w:color w:val="auto"/>
              </w:rPr>
              <w:t>66,686</w:t>
            </w:r>
          </w:p>
        </w:tc>
      </w:tr>
      <w:tr>
        <w:trPr>
          <w:trHeight w:val="178"/>
        </w:trPr>
        <w:tc>
          <w:tcPr>
            <w:tcW w:w="6460" w:type="dxa"/>
            <w:vAlign w:val="bottom"/>
            <w:gridSpan w:val="2"/>
            <w:shd w:val="clear" w:color="auto" w:fill="CCEEFF"/>
          </w:tcPr>
          <w:p>
            <w:pPr>
              <w:spacing w:after="0"/>
              <w:rPr>
                <w:sz w:val="20"/>
                <w:szCs w:val="20"/>
                <w:color w:val="auto"/>
              </w:rPr>
            </w:pPr>
            <w:r>
              <w:rPr>
                <w:rFonts w:ascii="Calibri" w:cs="Calibri" w:eastAsia="Calibri" w:hAnsi="Calibri"/>
                <w:sz w:val="13"/>
                <w:szCs w:val="13"/>
                <w:color w:val="auto"/>
              </w:rPr>
              <w:t>Adjusted Gross Margin %</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71.3 %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65.9 %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66.4 %</w:t>
            </w:r>
          </w:p>
        </w:tc>
      </w:tr>
    </w:tbl>
    <w:p>
      <w:pPr>
        <w:spacing w:after="0" w:line="196" w:lineRule="exact"/>
        <w:rPr>
          <w:sz w:val="20"/>
          <w:szCs w:val="20"/>
          <w:color w:val="auto"/>
        </w:rPr>
      </w:pPr>
    </w:p>
    <w:p>
      <w:pPr>
        <w:spacing w:after="0"/>
        <w:rPr>
          <w:sz w:val="20"/>
          <w:szCs w:val="20"/>
          <w:color w:val="auto"/>
        </w:rPr>
      </w:pPr>
      <w:r>
        <w:rPr>
          <w:rFonts w:ascii="Calibri" w:cs="Calibri" w:eastAsia="Calibri" w:hAnsi="Calibri"/>
          <w:sz w:val="14"/>
          <w:szCs w:val="14"/>
          <w:b w:val="1"/>
          <w:bCs w:val="1"/>
          <w:u w:val="single" w:color="auto"/>
          <w:color w:val="auto"/>
        </w:rPr>
        <w:t>2023 Financial Overview</w:t>
      </w:r>
    </w:p>
    <w:p>
      <w:pPr>
        <w:spacing w:after="0" w:line="3" w:lineRule="exact"/>
        <w:rPr>
          <w:sz w:val="20"/>
          <w:szCs w:val="20"/>
          <w:color w:val="auto"/>
        </w:rPr>
      </w:pPr>
    </w:p>
    <w:p>
      <w:pPr>
        <w:ind w:right="140"/>
        <w:spacing w:after="0" w:line="227" w:lineRule="auto"/>
        <w:rPr>
          <w:sz w:val="20"/>
          <w:szCs w:val="20"/>
          <w:color w:val="auto"/>
        </w:rPr>
      </w:pPr>
      <w:r>
        <w:rPr>
          <w:rFonts w:ascii="Calibri" w:cs="Calibri" w:eastAsia="Calibri" w:hAnsi="Calibri"/>
          <w:sz w:val="13"/>
          <w:szCs w:val="13"/>
          <w:color w:val="auto"/>
        </w:rPr>
        <w:t>In order to allow for a beter analysis of our fnancials, we have presented below quarterly sales informaton for Obagi Skincare and Milk Makeup on a quarterly basis for FY2023. These fgures are based on management reportng and are not audited.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3"/>
          <w:szCs w:val="13"/>
          <w:color w:val="auto"/>
        </w:rPr>
        <w:t>11</w:t>
      </w:r>
    </w:p>
    <w:p>
      <w:pPr>
        <w:sectPr>
          <w:pgSz w:w="11900" w:h="16838" w:orient="portrait"/>
          <w:cols w:equalWidth="0" w:num="1">
            <w:col w:w="11300"/>
          </w:cols>
          <w:pgMar w:left="300" w:top="678"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3200" w:type="dxa"/>
            <w:vAlign w:val="bottom"/>
            <w:tcBorders>
              <w:bottom w:val="single" w:sz="8" w:color="CCEEFF"/>
              <w:right w:val="single" w:sz="8" w:color="auto"/>
            </w:tcBorders>
          </w:tcPr>
          <w:p>
            <w:pPr>
              <w:spacing w:after="0"/>
              <w:rPr>
                <w:sz w:val="20"/>
                <w:szCs w:val="20"/>
                <w:color w:val="auto"/>
              </w:rPr>
            </w:pPr>
            <w:r>
              <w:rPr>
                <w:rFonts w:ascii="Calibri" w:cs="Calibri" w:eastAsia="Calibri" w:hAnsi="Calibri"/>
                <w:sz w:val="13"/>
                <w:szCs w:val="13"/>
                <w:i w:val="1"/>
                <w:iCs w:val="1"/>
                <w:color w:val="auto"/>
              </w:rPr>
              <w:t>U.S. Dollars (In millions)</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Calibri" w:cs="Calibri" w:eastAsia="Calibri" w:hAnsi="Calibri"/>
                <w:sz w:val="13"/>
                <w:szCs w:val="13"/>
                <w:b w:val="1"/>
                <w:bCs w:val="1"/>
                <w:color w:val="auto"/>
              </w:rPr>
              <w:t>Q1</w:t>
            </w:r>
          </w:p>
        </w:tc>
        <w:tc>
          <w:tcPr>
            <w:tcW w:w="3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Calibri" w:cs="Calibri" w:eastAsia="Calibri" w:hAnsi="Calibri"/>
                <w:sz w:val="13"/>
                <w:szCs w:val="13"/>
                <w:b w:val="1"/>
                <w:bCs w:val="1"/>
                <w:color w:val="auto"/>
              </w:rPr>
              <w:t>Q2</w:t>
            </w:r>
          </w:p>
        </w:tc>
        <w:tc>
          <w:tcPr>
            <w:tcW w:w="4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414"/>
              <w:spacing w:after="0"/>
              <w:rPr>
                <w:sz w:val="20"/>
                <w:szCs w:val="20"/>
                <w:color w:val="auto"/>
              </w:rPr>
            </w:pPr>
            <w:r>
              <w:rPr>
                <w:rFonts w:ascii="Calibri" w:cs="Calibri" w:eastAsia="Calibri" w:hAnsi="Calibri"/>
                <w:sz w:val="13"/>
                <w:szCs w:val="13"/>
                <w:b w:val="1"/>
                <w:bCs w:val="1"/>
                <w:color w:val="auto"/>
              </w:rPr>
              <w:t>1H</w:t>
            </w:r>
          </w:p>
        </w:tc>
        <w:tc>
          <w:tcPr>
            <w:tcW w:w="3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434"/>
              <w:spacing w:after="0"/>
              <w:rPr>
                <w:sz w:val="20"/>
                <w:szCs w:val="20"/>
                <w:color w:val="auto"/>
              </w:rPr>
            </w:pPr>
            <w:r>
              <w:rPr>
                <w:rFonts w:ascii="Calibri" w:cs="Calibri" w:eastAsia="Calibri" w:hAnsi="Calibri"/>
                <w:sz w:val="13"/>
                <w:szCs w:val="13"/>
                <w:b w:val="1"/>
                <w:bCs w:val="1"/>
                <w:color w:val="auto"/>
              </w:rPr>
              <w:t>Q3</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Calibri" w:cs="Calibri" w:eastAsia="Calibri" w:hAnsi="Calibri"/>
                <w:sz w:val="13"/>
                <w:szCs w:val="13"/>
                <w:b w:val="1"/>
                <w:bCs w:val="1"/>
                <w:color w:val="auto"/>
              </w:rPr>
              <w:t>Q4</w:t>
            </w:r>
          </w:p>
        </w:tc>
        <w:tc>
          <w:tcPr>
            <w:tcW w:w="4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3"/>
                <w:szCs w:val="13"/>
                <w:b w:val="1"/>
                <w:bCs w:val="1"/>
                <w:color w:val="auto"/>
              </w:rPr>
              <w:t>2H</w:t>
            </w:r>
          </w:p>
        </w:tc>
        <w:tc>
          <w:tcPr>
            <w:tcW w:w="44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414"/>
              <w:spacing w:after="0"/>
              <w:rPr>
                <w:sz w:val="20"/>
                <w:szCs w:val="20"/>
                <w:color w:val="auto"/>
              </w:rPr>
            </w:pPr>
            <w:r>
              <w:rPr>
                <w:rFonts w:ascii="Calibri" w:cs="Calibri" w:eastAsia="Calibri" w:hAnsi="Calibri"/>
                <w:sz w:val="13"/>
                <w:szCs w:val="13"/>
                <w:b w:val="1"/>
                <w:bCs w:val="1"/>
                <w:color w:val="auto"/>
              </w:rPr>
              <w:t>FY</w:t>
            </w:r>
          </w:p>
        </w:tc>
        <w:tc>
          <w:tcPr>
            <w:tcW w:w="20" w:type="dxa"/>
            <w:vAlign w:val="bottom"/>
            <w:tcBorders>
              <w:top w:val="single" w:sz="8" w:color="auto"/>
              <w:bottom w:val="single" w:sz="8" w:color="auto"/>
            </w:tcBorders>
            <w:shd w:val="clear" w:color="auto" w:fill="000000"/>
          </w:tcPr>
          <w:p>
            <w:pPr>
              <w:spacing w:after="0"/>
              <w:rPr>
                <w:sz w:val="15"/>
                <w:szCs w:val="15"/>
                <w:color w:val="auto"/>
              </w:rPr>
            </w:pPr>
          </w:p>
        </w:tc>
      </w:tr>
      <w:tr>
        <w:trPr>
          <w:trHeight w:val="167"/>
        </w:trPr>
        <w:tc>
          <w:tcPr>
            <w:tcW w:w="3200" w:type="dxa"/>
            <w:vAlign w:val="bottom"/>
            <w:tcBorders>
              <w:right w:val="single" w:sz="8" w:color="CCEEFF"/>
            </w:tcBorders>
            <w:shd w:val="clear" w:color="auto" w:fill="CCEEFF"/>
          </w:tcPr>
          <w:p>
            <w:pPr>
              <w:spacing w:after="0" w:line="144" w:lineRule="exact"/>
              <w:rPr>
                <w:sz w:val="20"/>
                <w:szCs w:val="20"/>
                <w:color w:val="auto"/>
              </w:rPr>
            </w:pPr>
            <w:r>
              <w:rPr>
                <w:rFonts w:ascii="Calibri" w:cs="Calibri" w:eastAsia="Calibri" w:hAnsi="Calibri"/>
                <w:sz w:val="13"/>
                <w:szCs w:val="13"/>
                <w:b w:val="1"/>
                <w:bCs w:val="1"/>
                <w:color w:val="auto"/>
              </w:rPr>
              <w:t>Net Revenue</w:t>
            </w:r>
          </w:p>
        </w:tc>
        <w:tc>
          <w:tcPr>
            <w:tcW w:w="700" w:type="dxa"/>
            <w:vAlign w:val="bottom"/>
            <w:shd w:val="clear" w:color="auto" w:fill="CCEEFF"/>
          </w:tcPr>
          <w:p>
            <w:pPr>
              <w:jc w:val="right"/>
              <w:ind w:right="580"/>
              <w:spacing w:after="0"/>
              <w:rPr>
                <w:sz w:val="20"/>
                <w:szCs w:val="20"/>
                <w:color w:val="auto"/>
              </w:rPr>
            </w:pPr>
            <w:r>
              <w:rPr>
                <w:rFonts w:ascii="Calibri" w:cs="Calibri" w:eastAsia="Calibri" w:hAnsi="Calibri"/>
                <w:sz w:val="11"/>
                <w:szCs w:val="11"/>
                <w:b w:val="1"/>
                <w:bCs w:val="1"/>
                <w:color w:val="auto"/>
                <w:w w:val="70"/>
              </w:rPr>
              <w:t>$</w:t>
            </w:r>
          </w:p>
        </w:tc>
        <w:tc>
          <w:tcPr>
            <w:tcW w:w="38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60.0</w:t>
            </w:r>
          </w:p>
        </w:tc>
        <w:tc>
          <w:tcPr>
            <w:tcW w:w="780" w:type="dxa"/>
            <w:vAlign w:val="bottom"/>
            <w:shd w:val="clear" w:color="auto" w:fill="CCEEFF"/>
          </w:tcPr>
          <w:p>
            <w:pPr>
              <w:jc w:val="right"/>
              <w:ind w:right="574"/>
              <w:spacing w:after="0" w:line="157" w:lineRule="exact"/>
              <w:rPr>
                <w:sz w:val="20"/>
                <w:szCs w:val="20"/>
                <w:color w:val="auto"/>
              </w:rPr>
            </w:pPr>
            <w:r>
              <w:rPr>
                <w:rFonts w:ascii="Calibri" w:cs="Calibri" w:eastAsia="Calibri" w:hAnsi="Calibri"/>
                <w:sz w:val="13"/>
                <w:szCs w:val="13"/>
                <w:b w:val="1"/>
                <w:bCs w:val="1"/>
                <w:color w:val="auto"/>
              </w:rPr>
              <w:t>$</w:t>
            </w:r>
          </w:p>
        </w:tc>
        <w:tc>
          <w:tcPr>
            <w:tcW w:w="420" w:type="dxa"/>
            <w:vAlign w:val="bottom"/>
            <w:shd w:val="clear" w:color="auto" w:fill="CCEEFF"/>
          </w:tcPr>
          <w:p>
            <w:pPr>
              <w:jc w:val="right"/>
              <w:ind w:right="34"/>
              <w:spacing w:after="0" w:line="157" w:lineRule="exact"/>
              <w:rPr>
                <w:sz w:val="20"/>
                <w:szCs w:val="20"/>
                <w:color w:val="auto"/>
              </w:rPr>
            </w:pPr>
            <w:r>
              <w:rPr>
                <w:rFonts w:ascii="Calibri" w:cs="Calibri" w:eastAsia="Calibri" w:hAnsi="Calibri"/>
                <w:sz w:val="13"/>
                <w:szCs w:val="13"/>
                <w:b w:val="1"/>
                <w:bCs w:val="1"/>
                <w:color w:val="auto"/>
              </w:rPr>
              <w:t>49.4</w:t>
            </w:r>
          </w:p>
        </w:tc>
        <w:tc>
          <w:tcPr>
            <w:tcW w:w="320" w:type="dxa"/>
            <w:vAlign w:val="bottom"/>
            <w:shd w:val="clear" w:color="auto" w:fill="CCEEFF"/>
          </w:tcPr>
          <w:p>
            <w:pPr>
              <w:jc w:val="right"/>
              <w:ind w:right="134"/>
              <w:spacing w:after="0" w:line="157" w:lineRule="exact"/>
              <w:rPr>
                <w:sz w:val="20"/>
                <w:szCs w:val="20"/>
                <w:color w:val="auto"/>
              </w:rPr>
            </w:pPr>
            <w:r>
              <w:rPr>
                <w:rFonts w:ascii="Calibri" w:cs="Calibri" w:eastAsia="Calibri" w:hAnsi="Calibri"/>
                <w:sz w:val="13"/>
                <w:szCs w:val="13"/>
                <w:b w:val="1"/>
                <w:bCs w:val="1"/>
                <w:color w:val="auto"/>
              </w:rPr>
              <w:t>$</w:t>
            </w:r>
          </w:p>
        </w:tc>
        <w:tc>
          <w:tcPr>
            <w:tcW w:w="8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109.3</w:t>
            </w:r>
          </w:p>
        </w:tc>
        <w:tc>
          <w:tcPr>
            <w:tcW w:w="340" w:type="dxa"/>
            <w:vAlign w:val="bottom"/>
            <w:shd w:val="clear" w:color="auto" w:fill="CCEEFF"/>
          </w:tcPr>
          <w:p>
            <w:pPr>
              <w:jc w:val="right"/>
              <w:ind w:right="134"/>
              <w:spacing w:after="0" w:line="157" w:lineRule="exact"/>
              <w:rPr>
                <w:sz w:val="20"/>
                <w:szCs w:val="20"/>
                <w:color w:val="auto"/>
              </w:rPr>
            </w:pPr>
            <w:r>
              <w:rPr>
                <w:rFonts w:ascii="Calibri" w:cs="Calibri" w:eastAsia="Calibri" w:hAnsi="Calibri"/>
                <w:sz w:val="13"/>
                <w:szCs w:val="13"/>
                <w:b w:val="1"/>
                <w:bCs w:val="1"/>
                <w:color w:val="auto"/>
              </w:rPr>
              <w:t>$</w:t>
            </w:r>
          </w:p>
        </w:tc>
        <w:tc>
          <w:tcPr>
            <w:tcW w:w="860" w:type="dxa"/>
            <w:vAlign w:val="bottom"/>
            <w:shd w:val="clear" w:color="auto" w:fill="CCEEFF"/>
          </w:tcPr>
          <w:p>
            <w:pPr>
              <w:jc w:val="right"/>
              <w:ind w:right="34"/>
              <w:spacing w:after="0" w:line="157" w:lineRule="exact"/>
              <w:rPr>
                <w:sz w:val="20"/>
                <w:szCs w:val="20"/>
                <w:color w:val="auto"/>
              </w:rPr>
            </w:pPr>
            <w:r>
              <w:rPr>
                <w:rFonts w:ascii="Calibri" w:cs="Calibri" w:eastAsia="Calibri" w:hAnsi="Calibri"/>
                <w:sz w:val="13"/>
                <w:szCs w:val="13"/>
                <w:b w:val="1"/>
                <w:bCs w:val="1"/>
                <w:color w:val="auto"/>
              </w:rPr>
              <w:t>53.7</w:t>
            </w:r>
          </w:p>
        </w:tc>
        <w:tc>
          <w:tcPr>
            <w:tcW w:w="740" w:type="dxa"/>
            <w:vAlign w:val="bottom"/>
            <w:shd w:val="clear" w:color="auto" w:fill="CCEEFF"/>
          </w:tcPr>
          <w:p>
            <w:pPr>
              <w:jc w:val="right"/>
              <w:ind w:right="554"/>
              <w:spacing w:after="0" w:line="157" w:lineRule="exact"/>
              <w:rPr>
                <w:sz w:val="20"/>
                <w:szCs w:val="20"/>
                <w:color w:val="auto"/>
              </w:rPr>
            </w:pPr>
            <w:r>
              <w:rPr>
                <w:rFonts w:ascii="Calibri" w:cs="Calibri" w:eastAsia="Calibri" w:hAnsi="Calibri"/>
                <w:sz w:val="13"/>
                <w:szCs w:val="13"/>
                <w:b w:val="1"/>
                <w:bCs w:val="1"/>
                <w:color w:val="auto"/>
              </w:rPr>
              <w:t>$</w:t>
            </w:r>
          </w:p>
        </w:tc>
        <w:tc>
          <w:tcPr>
            <w:tcW w:w="42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b w:val="1"/>
                <w:bCs w:val="1"/>
                <w:color w:val="auto"/>
              </w:rPr>
              <w:t>55.1</w:t>
            </w:r>
          </w:p>
        </w:tc>
        <w:tc>
          <w:tcPr>
            <w:tcW w:w="720" w:type="dxa"/>
            <w:vAlign w:val="bottom"/>
            <w:shd w:val="clear" w:color="auto" w:fill="CCEEFF"/>
          </w:tcPr>
          <w:p>
            <w:pPr>
              <w:jc w:val="right"/>
              <w:ind w:right="534"/>
              <w:spacing w:after="0" w:line="157" w:lineRule="exact"/>
              <w:rPr>
                <w:sz w:val="20"/>
                <w:szCs w:val="20"/>
                <w:color w:val="auto"/>
              </w:rPr>
            </w:pPr>
            <w:r>
              <w:rPr>
                <w:rFonts w:ascii="Calibri" w:cs="Calibri" w:eastAsia="Calibri" w:hAnsi="Calibri"/>
                <w:sz w:val="13"/>
                <w:szCs w:val="13"/>
                <w:b w:val="1"/>
                <w:bCs w:val="1"/>
                <w:color w:val="auto"/>
              </w:rPr>
              <w:t>$</w:t>
            </w:r>
          </w:p>
        </w:tc>
        <w:tc>
          <w:tcPr>
            <w:tcW w:w="44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b w:val="1"/>
                <w:bCs w:val="1"/>
                <w:color w:val="auto"/>
              </w:rPr>
              <w:t>108.8</w:t>
            </w:r>
          </w:p>
        </w:tc>
        <w:tc>
          <w:tcPr>
            <w:tcW w:w="340" w:type="dxa"/>
            <w:vAlign w:val="bottom"/>
            <w:shd w:val="clear" w:color="auto" w:fill="CCEEFF"/>
          </w:tcPr>
          <w:p>
            <w:pPr>
              <w:jc w:val="right"/>
              <w:ind w:right="134"/>
              <w:spacing w:after="0" w:line="157" w:lineRule="exact"/>
              <w:rPr>
                <w:sz w:val="20"/>
                <w:szCs w:val="20"/>
                <w:color w:val="auto"/>
              </w:rPr>
            </w:pPr>
            <w:r>
              <w:rPr>
                <w:rFonts w:ascii="Calibri" w:cs="Calibri" w:eastAsia="Calibri" w:hAnsi="Calibri"/>
                <w:sz w:val="13"/>
                <w:szCs w:val="13"/>
                <w:b w:val="1"/>
                <w:bCs w:val="1"/>
                <w:color w:val="auto"/>
              </w:rPr>
              <w:t>$</w:t>
            </w:r>
          </w:p>
        </w:tc>
        <w:tc>
          <w:tcPr>
            <w:tcW w:w="8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218.1</w:t>
            </w:r>
          </w:p>
        </w:tc>
        <w:tc>
          <w:tcPr>
            <w:tcW w:w="20" w:type="dxa"/>
            <w:vAlign w:val="bottom"/>
          </w:tcPr>
          <w:p>
            <w:pPr>
              <w:spacing w:after="0"/>
              <w:rPr>
                <w:sz w:val="14"/>
                <w:szCs w:val="14"/>
                <w:color w:val="auto"/>
              </w:rPr>
            </w:pPr>
          </w:p>
        </w:tc>
      </w:tr>
      <w:tr>
        <w:trPr>
          <w:trHeight w:val="164"/>
        </w:trPr>
        <w:tc>
          <w:tcPr>
            <w:tcW w:w="3200" w:type="dxa"/>
            <w:vAlign w:val="bottom"/>
          </w:tcPr>
          <w:p>
            <w:pPr>
              <w:ind w:left="220"/>
              <w:spacing w:after="0" w:line="157" w:lineRule="exact"/>
              <w:rPr>
                <w:sz w:val="20"/>
                <w:szCs w:val="20"/>
                <w:color w:val="auto"/>
              </w:rPr>
            </w:pPr>
            <w:r>
              <w:rPr>
                <w:rFonts w:ascii="Calibri" w:cs="Calibri" w:eastAsia="Calibri" w:hAnsi="Calibri"/>
                <w:sz w:val="13"/>
                <w:szCs w:val="13"/>
                <w:color w:val="auto"/>
              </w:rPr>
              <w:t>Obagi Skincare</w:t>
            </w:r>
          </w:p>
        </w:tc>
        <w:tc>
          <w:tcPr>
            <w:tcW w:w="700" w:type="dxa"/>
            <w:vAlign w:val="bottom"/>
          </w:tcPr>
          <w:p>
            <w:pPr>
              <w:spacing w:after="0"/>
              <w:rPr>
                <w:sz w:val="14"/>
                <w:szCs w:val="14"/>
                <w:color w:val="auto"/>
              </w:rPr>
            </w:pPr>
          </w:p>
        </w:tc>
        <w:tc>
          <w:tcPr>
            <w:tcW w:w="380" w:type="dxa"/>
            <w:vAlign w:val="bottom"/>
          </w:tcPr>
          <w:p>
            <w:pPr>
              <w:jc w:val="right"/>
              <w:spacing w:after="0" w:line="157" w:lineRule="exact"/>
              <w:rPr>
                <w:sz w:val="20"/>
                <w:szCs w:val="20"/>
                <w:color w:val="auto"/>
              </w:rPr>
            </w:pPr>
            <w:r>
              <w:rPr>
                <w:rFonts w:ascii="Calibri" w:cs="Calibri" w:eastAsia="Calibri" w:hAnsi="Calibri"/>
                <w:sz w:val="13"/>
                <w:szCs w:val="13"/>
                <w:color w:val="auto"/>
              </w:rPr>
              <w:t>31.6</w:t>
            </w:r>
          </w:p>
        </w:tc>
        <w:tc>
          <w:tcPr>
            <w:tcW w:w="780" w:type="dxa"/>
            <w:vAlign w:val="bottom"/>
          </w:tcPr>
          <w:p>
            <w:pPr>
              <w:spacing w:after="0"/>
              <w:rPr>
                <w:sz w:val="14"/>
                <w:szCs w:val="14"/>
                <w:color w:val="auto"/>
              </w:rPr>
            </w:pPr>
          </w:p>
        </w:tc>
        <w:tc>
          <w:tcPr>
            <w:tcW w:w="42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25.5</w:t>
            </w:r>
          </w:p>
        </w:tc>
        <w:tc>
          <w:tcPr>
            <w:tcW w:w="320" w:type="dxa"/>
            <w:vAlign w:val="bottom"/>
          </w:tcPr>
          <w:p>
            <w:pPr>
              <w:spacing w:after="0"/>
              <w:rPr>
                <w:sz w:val="14"/>
                <w:szCs w:val="14"/>
                <w:color w:val="auto"/>
              </w:rPr>
            </w:pPr>
          </w:p>
        </w:tc>
        <w:tc>
          <w:tcPr>
            <w:tcW w:w="820" w:type="dxa"/>
            <w:vAlign w:val="bottom"/>
          </w:tcPr>
          <w:p>
            <w:pPr>
              <w:jc w:val="right"/>
              <w:spacing w:after="0" w:line="157" w:lineRule="exact"/>
              <w:rPr>
                <w:sz w:val="20"/>
                <w:szCs w:val="20"/>
                <w:color w:val="auto"/>
              </w:rPr>
            </w:pPr>
            <w:r>
              <w:rPr>
                <w:rFonts w:ascii="Calibri" w:cs="Calibri" w:eastAsia="Calibri" w:hAnsi="Calibri"/>
                <w:sz w:val="13"/>
                <w:szCs w:val="13"/>
                <w:color w:val="auto"/>
              </w:rPr>
              <w:t>57.0</w:t>
            </w:r>
          </w:p>
        </w:tc>
        <w:tc>
          <w:tcPr>
            <w:tcW w:w="340" w:type="dxa"/>
            <w:vAlign w:val="bottom"/>
          </w:tcPr>
          <w:p>
            <w:pPr>
              <w:spacing w:after="0"/>
              <w:rPr>
                <w:sz w:val="14"/>
                <w:szCs w:val="14"/>
                <w:color w:val="auto"/>
              </w:rPr>
            </w:pPr>
          </w:p>
        </w:tc>
        <w:tc>
          <w:tcPr>
            <w:tcW w:w="860" w:type="dxa"/>
            <w:vAlign w:val="bottom"/>
          </w:tcPr>
          <w:p>
            <w:pPr>
              <w:jc w:val="center"/>
              <w:ind w:left="434"/>
              <w:spacing w:after="0" w:line="157" w:lineRule="exact"/>
              <w:rPr>
                <w:sz w:val="20"/>
                <w:szCs w:val="20"/>
                <w:color w:val="auto"/>
              </w:rPr>
            </w:pPr>
            <w:r>
              <w:rPr>
                <w:rFonts w:ascii="Calibri" w:cs="Calibri" w:eastAsia="Calibri" w:hAnsi="Calibri"/>
                <w:sz w:val="13"/>
                <w:szCs w:val="13"/>
                <w:color w:val="auto"/>
              </w:rPr>
              <w:t>28.2</w:t>
            </w:r>
          </w:p>
        </w:tc>
        <w:tc>
          <w:tcPr>
            <w:tcW w:w="740" w:type="dxa"/>
            <w:vAlign w:val="bottom"/>
          </w:tcPr>
          <w:p>
            <w:pPr>
              <w:spacing w:after="0"/>
              <w:rPr>
                <w:sz w:val="14"/>
                <w:szCs w:val="14"/>
                <w:color w:val="auto"/>
              </w:rPr>
            </w:pPr>
          </w:p>
        </w:tc>
        <w:tc>
          <w:tcPr>
            <w:tcW w:w="420" w:type="dxa"/>
            <w:vAlign w:val="bottom"/>
          </w:tcPr>
          <w:p>
            <w:pPr>
              <w:jc w:val="right"/>
              <w:spacing w:after="0" w:line="157" w:lineRule="exact"/>
              <w:rPr>
                <w:sz w:val="20"/>
                <w:szCs w:val="20"/>
                <w:color w:val="auto"/>
              </w:rPr>
            </w:pPr>
            <w:r>
              <w:rPr>
                <w:rFonts w:ascii="Calibri" w:cs="Calibri" w:eastAsia="Calibri" w:hAnsi="Calibri"/>
                <w:sz w:val="13"/>
                <w:szCs w:val="13"/>
                <w:color w:val="auto"/>
              </w:rPr>
              <w:t>32.5</w:t>
            </w:r>
          </w:p>
        </w:tc>
        <w:tc>
          <w:tcPr>
            <w:tcW w:w="720" w:type="dxa"/>
            <w:vAlign w:val="bottom"/>
          </w:tcPr>
          <w:p>
            <w:pPr>
              <w:spacing w:after="0"/>
              <w:rPr>
                <w:sz w:val="14"/>
                <w:szCs w:val="14"/>
                <w:color w:val="auto"/>
              </w:rPr>
            </w:pPr>
          </w:p>
        </w:tc>
        <w:tc>
          <w:tcPr>
            <w:tcW w:w="44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60.6</w:t>
            </w:r>
          </w:p>
        </w:tc>
        <w:tc>
          <w:tcPr>
            <w:tcW w:w="340" w:type="dxa"/>
            <w:vAlign w:val="bottom"/>
          </w:tcPr>
          <w:p>
            <w:pPr>
              <w:spacing w:after="0"/>
              <w:rPr>
                <w:sz w:val="14"/>
                <w:szCs w:val="14"/>
                <w:color w:val="auto"/>
              </w:rPr>
            </w:pPr>
          </w:p>
        </w:tc>
        <w:tc>
          <w:tcPr>
            <w:tcW w:w="820" w:type="dxa"/>
            <w:vAlign w:val="bottom"/>
          </w:tcPr>
          <w:p>
            <w:pPr>
              <w:jc w:val="right"/>
              <w:spacing w:after="0" w:line="157" w:lineRule="exact"/>
              <w:rPr>
                <w:sz w:val="20"/>
                <w:szCs w:val="20"/>
                <w:color w:val="auto"/>
              </w:rPr>
            </w:pPr>
            <w:r>
              <w:rPr>
                <w:rFonts w:ascii="Calibri" w:cs="Calibri" w:eastAsia="Calibri" w:hAnsi="Calibri"/>
                <w:sz w:val="13"/>
                <w:szCs w:val="13"/>
                <w:color w:val="auto"/>
              </w:rPr>
              <w:t>117.7</w:t>
            </w:r>
          </w:p>
        </w:tc>
        <w:tc>
          <w:tcPr>
            <w:tcW w:w="20" w:type="dxa"/>
            <w:vAlign w:val="bottom"/>
          </w:tcPr>
          <w:p>
            <w:pPr>
              <w:spacing w:after="0"/>
              <w:rPr>
                <w:sz w:val="14"/>
                <w:szCs w:val="14"/>
                <w:color w:val="auto"/>
              </w:rPr>
            </w:pPr>
          </w:p>
        </w:tc>
      </w:tr>
      <w:tr>
        <w:trPr>
          <w:trHeight w:val="178"/>
        </w:trPr>
        <w:tc>
          <w:tcPr>
            <w:tcW w:w="3200" w:type="dxa"/>
            <w:vAlign w:val="bottom"/>
            <w:tcBorders>
              <w:right w:val="single" w:sz="8" w:color="CCEEFF"/>
            </w:tcBorders>
            <w:shd w:val="clear" w:color="auto" w:fill="CCEEFF"/>
          </w:tcPr>
          <w:p>
            <w:pPr>
              <w:ind w:left="220"/>
              <w:spacing w:after="0"/>
              <w:rPr>
                <w:sz w:val="20"/>
                <w:szCs w:val="20"/>
                <w:color w:val="auto"/>
              </w:rPr>
            </w:pPr>
            <w:r>
              <w:rPr>
                <w:rFonts w:ascii="Calibri" w:cs="Calibri" w:eastAsia="Calibri" w:hAnsi="Calibri"/>
                <w:sz w:val="13"/>
                <w:szCs w:val="13"/>
                <w:color w:val="auto"/>
              </w:rPr>
              <w:t>Milk Makeup</w:t>
            </w: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28.4</w:t>
            </w: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23.9</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52.3</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434"/>
              <w:spacing w:after="0"/>
              <w:rPr>
                <w:sz w:val="20"/>
                <w:szCs w:val="20"/>
                <w:color w:val="auto"/>
              </w:rPr>
            </w:pPr>
            <w:r>
              <w:rPr>
                <w:rFonts w:ascii="Calibri" w:cs="Calibri" w:eastAsia="Calibri" w:hAnsi="Calibri"/>
                <w:sz w:val="13"/>
                <w:szCs w:val="13"/>
                <w:color w:val="auto"/>
              </w:rPr>
              <w:t>25.5</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22.6</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48.2</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100.5</w:t>
            </w:r>
          </w:p>
        </w:tc>
        <w:tc>
          <w:tcPr>
            <w:tcW w:w="20" w:type="dxa"/>
            <w:vAlign w:val="bottom"/>
          </w:tcPr>
          <w:p>
            <w:pPr>
              <w:spacing w:after="0"/>
              <w:rPr>
                <w:sz w:val="15"/>
                <w:szCs w:val="15"/>
                <w:color w:val="auto"/>
              </w:rPr>
            </w:pPr>
          </w:p>
        </w:tc>
      </w:tr>
      <w:tr>
        <w:trPr>
          <w:trHeight w:val="180"/>
        </w:trPr>
        <w:tc>
          <w:tcPr>
            <w:tcW w:w="3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3200" w:type="dxa"/>
            <w:vAlign w:val="bottom"/>
            <w:tcBorders>
              <w:right w:val="single" w:sz="8" w:color="CCEEFF"/>
            </w:tcBorders>
            <w:shd w:val="clear" w:color="auto" w:fill="CCEEFF"/>
          </w:tcPr>
          <w:p>
            <w:pPr>
              <w:spacing w:after="0" w:line="157" w:lineRule="exact"/>
              <w:rPr>
                <w:sz w:val="20"/>
                <w:szCs w:val="20"/>
                <w:color w:val="auto"/>
              </w:rPr>
            </w:pPr>
            <w:r>
              <w:rPr>
                <w:rFonts w:ascii="Calibri" w:cs="Calibri" w:eastAsia="Calibri" w:hAnsi="Calibri"/>
                <w:sz w:val="13"/>
                <w:szCs w:val="13"/>
                <w:color w:val="auto"/>
              </w:rPr>
              <w:t>Obagi China Business</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3.9</w:t>
            </w: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(0.5)</w:t>
            </w: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3.4</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434"/>
              <w:spacing w:after="0" w:line="157" w:lineRule="exact"/>
              <w:rPr>
                <w:sz w:val="20"/>
                <w:szCs w:val="20"/>
                <w:color w:val="auto"/>
              </w:rPr>
            </w:pPr>
            <w:r>
              <w:rPr>
                <w:rFonts w:ascii="Calibri" w:cs="Calibri" w:eastAsia="Calibri" w:hAnsi="Calibri"/>
                <w:sz w:val="13"/>
                <w:szCs w:val="13"/>
                <w:color w:val="auto"/>
                <w:w w:val="96"/>
              </w:rPr>
              <w:t>2.3</w:t>
            </w: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color w:val="auto"/>
              </w:rPr>
              <w:t>—</w:t>
            </w: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color w:val="auto"/>
              </w:rPr>
              <w:t>2.3</w:t>
            </w: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color w:val="auto"/>
              </w:rPr>
              <w:t>5.6</w:t>
            </w:r>
          </w:p>
        </w:tc>
        <w:tc>
          <w:tcPr>
            <w:tcW w:w="20" w:type="dxa"/>
            <w:vAlign w:val="bottom"/>
          </w:tcPr>
          <w:p>
            <w:pPr>
              <w:spacing w:after="0"/>
              <w:rPr>
                <w:sz w:val="14"/>
                <w:szCs w:val="14"/>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shd w:val="clear" w:color="auto" w:fill="CCEEFF"/>
          </w:tcPr>
          <w:p>
            <w:pPr>
              <w:spacing w:after="0"/>
              <w:rPr>
                <w:sz w:val="20"/>
                <w:szCs w:val="20"/>
                <w:color w:val="auto"/>
              </w:rPr>
            </w:pPr>
            <w:r>
              <w:rPr>
                <w:rFonts w:ascii="Calibri" w:cs="Calibri" w:eastAsia="Calibri" w:hAnsi="Calibri"/>
                <w:sz w:val="13"/>
                <w:szCs w:val="13"/>
                <w:b w:val="1"/>
                <w:bCs w:val="1"/>
                <w:color w:val="auto"/>
              </w:rPr>
              <w:t>Comparable Net Revenue</w:t>
            </w:r>
          </w:p>
        </w:tc>
        <w:tc>
          <w:tcPr>
            <w:tcW w:w="1320" w:type="dxa"/>
            <w:vAlign w:val="bottom"/>
            <w:shd w:val="clear" w:color="auto" w:fill="CCEEFF"/>
          </w:tcPr>
          <w:p>
            <w:pPr>
              <w:jc w:val="right"/>
              <w:ind w:right="294"/>
              <w:spacing w:after="0"/>
              <w:rPr>
                <w:sz w:val="20"/>
                <w:szCs w:val="20"/>
                <w:color w:val="auto"/>
              </w:rPr>
            </w:pPr>
            <w:r>
              <w:rPr>
                <w:rFonts w:ascii="Calibri" w:cs="Calibri" w:eastAsia="Calibri" w:hAnsi="Calibri"/>
                <w:sz w:val="13"/>
                <w:szCs w:val="13"/>
                <w:b w:val="1"/>
                <w:bCs w:val="1"/>
                <w:color w:val="auto"/>
              </w:rPr>
              <w:t>$</w:t>
            </w:r>
          </w:p>
        </w:tc>
        <w:tc>
          <w:tcPr>
            <w:tcW w:w="680" w:type="dxa"/>
            <w:vAlign w:val="bottom"/>
            <w:shd w:val="clear" w:color="auto" w:fill="CCEEFF"/>
          </w:tcPr>
          <w:p>
            <w:pPr>
              <w:jc w:val="right"/>
              <w:ind w:right="14"/>
              <w:spacing w:after="0"/>
              <w:rPr>
                <w:sz w:val="20"/>
                <w:szCs w:val="20"/>
                <w:color w:val="auto"/>
              </w:rPr>
            </w:pPr>
            <w:r>
              <w:rPr>
                <w:rFonts w:ascii="Calibri" w:cs="Calibri" w:eastAsia="Calibri" w:hAnsi="Calibri"/>
                <w:sz w:val="13"/>
                <w:szCs w:val="13"/>
                <w:b w:val="1"/>
                <w:bCs w:val="1"/>
                <w:color w:val="auto"/>
              </w:rPr>
              <w:t>56.1</w:t>
            </w:r>
          </w:p>
        </w:tc>
        <w:tc>
          <w:tcPr>
            <w:tcW w:w="480" w:type="dxa"/>
            <w:vAlign w:val="bottom"/>
            <w:shd w:val="clear" w:color="auto" w:fill="CCEEFF"/>
          </w:tcPr>
          <w:p>
            <w:pPr>
              <w:jc w:val="right"/>
              <w:ind w:right="294"/>
              <w:spacing w:after="0"/>
              <w:rPr>
                <w:sz w:val="20"/>
                <w:szCs w:val="20"/>
                <w:color w:val="auto"/>
              </w:rPr>
            </w:pPr>
            <w:r>
              <w:rPr>
                <w:rFonts w:ascii="Calibri" w:cs="Calibri" w:eastAsia="Calibri" w:hAnsi="Calibri"/>
                <w:sz w:val="13"/>
                <w:szCs w:val="13"/>
                <w:b w:val="1"/>
                <w:bCs w:val="1"/>
                <w:color w:val="auto"/>
              </w:rPr>
              <w:t>$</w:t>
            </w:r>
          </w:p>
        </w:tc>
        <w:tc>
          <w:tcPr>
            <w:tcW w:w="700" w:type="dxa"/>
            <w:vAlign w:val="bottom"/>
            <w:shd w:val="clear" w:color="auto" w:fill="CCEEFF"/>
          </w:tcPr>
          <w:p>
            <w:pPr>
              <w:jc w:val="right"/>
              <w:ind w:right="34"/>
              <w:spacing w:after="0"/>
              <w:rPr>
                <w:sz w:val="20"/>
                <w:szCs w:val="20"/>
                <w:color w:val="auto"/>
              </w:rPr>
            </w:pPr>
            <w:r>
              <w:rPr>
                <w:rFonts w:ascii="Calibri" w:cs="Calibri" w:eastAsia="Calibri" w:hAnsi="Calibri"/>
                <w:sz w:val="13"/>
                <w:szCs w:val="13"/>
                <w:b w:val="1"/>
                <w:bCs w:val="1"/>
                <w:color w:val="auto"/>
              </w:rPr>
              <w:t>49.9</w:t>
            </w:r>
          </w:p>
        </w:tc>
        <w:tc>
          <w:tcPr>
            <w:tcW w:w="440" w:type="dxa"/>
            <w:vAlign w:val="bottom"/>
            <w:shd w:val="clear" w:color="auto" w:fill="CCEEFF"/>
          </w:tcPr>
          <w:p>
            <w:pPr>
              <w:jc w:val="right"/>
              <w:ind w:right="254"/>
              <w:spacing w:after="0"/>
              <w:rPr>
                <w:sz w:val="20"/>
                <w:szCs w:val="20"/>
                <w:color w:val="auto"/>
              </w:rPr>
            </w:pPr>
            <w:r>
              <w:rPr>
                <w:rFonts w:ascii="Calibri" w:cs="Calibri" w:eastAsia="Calibri" w:hAnsi="Calibri"/>
                <w:sz w:val="13"/>
                <w:szCs w:val="13"/>
                <w:b w:val="1"/>
                <w:bCs w:val="1"/>
                <w:color w:val="auto"/>
              </w:rPr>
              <w:t>$</w:t>
            </w:r>
          </w:p>
        </w:tc>
        <w:tc>
          <w:tcPr>
            <w:tcW w:w="720" w:type="dxa"/>
            <w:vAlign w:val="bottom"/>
            <w:shd w:val="clear" w:color="auto" w:fill="CCEEFF"/>
          </w:tcPr>
          <w:p>
            <w:pPr>
              <w:jc w:val="right"/>
              <w:ind w:right="14"/>
              <w:spacing w:after="0"/>
              <w:rPr>
                <w:sz w:val="20"/>
                <w:szCs w:val="20"/>
                <w:color w:val="auto"/>
              </w:rPr>
            </w:pPr>
            <w:r>
              <w:rPr>
                <w:rFonts w:ascii="Calibri" w:cs="Calibri" w:eastAsia="Calibri" w:hAnsi="Calibri"/>
                <w:sz w:val="13"/>
                <w:szCs w:val="13"/>
                <w:b w:val="1"/>
                <w:bCs w:val="1"/>
                <w:color w:val="auto"/>
              </w:rPr>
              <w:t>106.0</w:t>
            </w:r>
          </w:p>
        </w:tc>
        <w:tc>
          <w:tcPr>
            <w:tcW w:w="480" w:type="dxa"/>
            <w:vAlign w:val="bottom"/>
            <w:shd w:val="clear" w:color="auto" w:fill="CCEEFF"/>
          </w:tcPr>
          <w:p>
            <w:pPr>
              <w:jc w:val="right"/>
              <w:ind w:right="294"/>
              <w:spacing w:after="0"/>
              <w:rPr>
                <w:sz w:val="20"/>
                <w:szCs w:val="20"/>
                <w:color w:val="auto"/>
              </w:rPr>
            </w:pPr>
            <w:r>
              <w:rPr>
                <w:rFonts w:ascii="Calibri" w:cs="Calibri" w:eastAsia="Calibri" w:hAnsi="Calibri"/>
                <w:sz w:val="13"/>
                <w:szCs w:val="13"/>
                <w:b w:val="1"/>
                <w:bCs w:val="1"/>
                <w:color w:val="auto"/>
              </w:rPr>
              <w:t>$</w:t>
            </w:r>
          </w:p>
        </w:tc>
        <w:tc>
          <w:tcPr>
            <w:tcW w:w="700" w:type="dxa"/>
            <w:vAlign w:val="bottom"/>
            <w:shd w:val="clear" w:color="auto" w:fill="CCEEFF"/>
          </w:tcPr>
          <w:p>
            <w:pPr>
              <w:jc w:val="right"/>
              <w:ind w:right="34"/>
              <w:spacing w:after="0"/>
              <w:rPr>
                <w:sz w:val="20"/>
                <w:szCs w:val="20"/>
                <w:color w:val="auto"/>
              </w:rPr>
            </w:pPr>
            <w:r>
              <w:rPr>
                <w:rFonts w:ascii="Calibri" w:cs="Calibri" w:eastAsia="Calibri" w:hAnsi="Calibri"/>
                <w:sz w:val="13"/>
                <w:szCs w:val="13"/>
                <w:b w:val="1"/>
                <w:bCs w:val="1"/>
                <w:color w:val="auto"/>
              </w:rPr>
              <w:t>51.4</w:t>
            </w:r>
          </w:p>
        </w:tc>
        <w:tc>
          <w:tcPr>
            <w:tcW w:w="480" w:type="dxa"/>
            <w:vAlign w:val="bottom"/>
            <w:shd w:val="clear" w:color="auto" w:fill="CCEEFF"/>
          </w:tcPr>
          <w:p>
            <w:pPr>
              <w:jc w:val="right"/>
              <w:ind w:right="294"/>
              <w:spacing w:after="0"/>
              <w:rPr>
                <w:sz w:val="20"/>
                <w:szCs w:val="20"/>
                <w:color w:val="auto"/>
              </w:rPr>
            </w:pPr>
            <w:r>
              <w:rPr>
                <w:rFonts w:ascii="Calibri" w:cs="Calibri" w:eastAsia="Calibri" w:hAnsi="Calibri"/>
                <w:sz w:val="13"/>
                <w:szCs w:val="13"/>
                <w:b w:val="1"/>
                <w:bCs w:val="1"/>
                <w:color w:val="auto"/>
              </w:rPr>
              <w:t>$</w:t>
            </w:r>
          </w:p>
        </w:tc>
        <w:tc>
          <w:tcPr>
            <w:tcW w:w="680" w:type="dxa"/>
            <w:vAlign w:val="bottom"/>
            <w:shd w:val="clear" w:color="auto" w:fill="CCEEFF"/>
          </w:tcPr>
          <w:p>
            <w:pPr>
              <w:jc w:val="right"/>
              <w:ind w:right="14"/>
              <w:spacing w:after="0"/>
              <w:rPr>
                <w:sz w:val="20"/>
                <w:szCs w:val="20"/>
                <w:color w:val="auto"/>
              </w:rPr>
            </w:pPr>
            <w:r>
              <w:rPr>
                <w:rFonts w:ascii="Calibri" w:cs="Calibri" w:eastAsia="Calibri" w:hAnsi="Calibri"/>
                <w:sz w:val="13"/>
                <w:szCs w:val="13"/>
                <w:b w:val="1"/>
                <w:bCs w:val="1"/>
                <w:color w:val="auto"/>
              </w:rPr>
              <w:t>55.1</w:t>
            </w:r>
          </w:p>
        </w:tc>
        <w:tc>
          <w:tcPr>
            <w:tcW w:w="460" w:type="dxa"/>
            <w:vAlign w:val="bottom"/>
            <w:shd w:val="clear" w:color="auto" w:fill="CCEEFF"/>
          </w:tcPr>
          <w:p>
            <w:pPr>
              <w:jc w:val="right"/>
              <w:ind w:right="274"/>
              <w:spacing w:after="0"/>
              <w:rPr>
                <w:sz w:val="20"/>
                <w:szCs w:val="20"/>
                <w:color w:val="auto"/>
              </w:rPr>
            </w:pPr>
            <w:r>
              <w:rPr>
                <w:rFonts w:ascii="Calibri" w:cs="Calibri" w:eastAsia="Calibri" w:hAnsi="Calibri"/>
                <w:sz w:val="13"/>
                <w:szCs w:val="13"/>
                <w:b w:val="1"/>
                <w:bCs w:val="1"/>
                <w:color w:val="auto"/>
              </w:rPr>
              <w:t>$</w:t>
            </w:r>
          </w:p>
        </w:tc>
        <w:tc>
          <w:tcPr>
            <w:tcW w:w="720" w:type="dxa"/>
            <w:vAlign w:val="bottom"/>
            <w:shd w:val="clear" w:color="auto" w:fill="CCEEFF"/>
          </w:tcPr>
          <w:p>
            <w:pPr>
              <w:jc w:val="right"/>
              <w:ind w:right="34"/>
              <w:spacing w:after="0"/>
              <w:rPr>
                <w:sz w:val="20"/>
                <w:szCs w:val="20"/>
                <w:color w:val="auto"/>
              </w:rPr>
            </w:pPr>
            <w:r>
              <w:rPr>
                <w:rFonts w:ascii="Calibri" w:cs="Calibri" w:eastAsia="Calibri" w:hAnsi="Calibri"/>
                <w:sz w:val="13"/>
                <w:szCs w:val="13"/>
                <w:b w:val="1"/>
                <w:bCs w:val="1"/>
                <w:color w:val="auto"/>
              </w:rPr>
              <w:t>106.5</w:t>
            </w:r>
          </w:p>
        </w:tc>
        <w:tc>
          <w:tcPr>
            <w:tcW w:w="440" w:type="dxa"/>
            <w:vAlign w:val="bottom"/>
            <w:shd w:val="clear" w:color="auto" w:fill="CCEEFF"/>
          </w:tcPr>
          <w:p>
            <w:pPr>
              <w:jc w:val="right"/>
              <w:ind w:right="254"/>
              <w:spacing w:after="0"/>
              <w:rPr>
                <w:sz w:val="20"/>
                <w:szCs w:val="20"/>
                <w:color w:val="auto"/>
              </w:rPr>
            </w:pPr>
            <w:r>
              <w:rPr>
                <w:rFonts w:ascii="Calibri" w:cs="Calibri" w:eastAsia="Calibri" w:hAnsi="Calibri"/>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Calibri" w:cs="Calibri" w:eastAsia="Calibri" w:hAnsi="Calibri"/>
                <w:sz w:val="13"/>
                <w:szCs w:val="13"/>
                <w:b w:val="1"/>
                <w:bCs w:val="1"/>
                <w:color w:val="auto"/>
              </w:rPr>
              <w:t>212.5</w:t>
            </w:r>
          </w:p>
        </w:tc>
      </w:tr>
      <w:tr>
        <w:trPr>
          <w:trHeight w:val="164"/>
        </w:trPr>
        <w:tc>
          <w:tcPr>
            <w:tcW w:w="2300" w:type="dxa"/>
            <w:vAlign w:val="bottom"/>
          </w:tcPr>
          <w:p>
            <w:pPr>
              <w:ind w:left="220"/>
              <w:spacing w:after="0" w:line="157" w:lineRule="exact"/>
              <w:rPr>
                <w:sz w:val="20"/>
                <w:szCs w:val="20"/>
                <w:color w:val="auto"/>
              </w:rPr>
            </w:pPr>
            <w:r>
              <w:rPr>
                <w:rFonts w:ascii="Calibri" w:cs="Calibri" w:eastAsia="Calibri" w:hAnsi="Calibri"/>
                <w:sz w:val="13"/>
                <w:szCs w:val="13"/>
                <w:color w:val="auto"/>
              </w:rPr>
              <w:t>Obagi Skincare</w:t>
            </w:r>
          </w:p>
        </w:tc>
        <w:tc>
          <w:tcPr>
            <w:tcW w:w="1320" w:type="dxa"/>
            <w:vAlign w:val="bottom"/>
          </w:tcPr>
          <w:p>
            <w:pPr>
              <w:spacing w:after="0"/>
              <w:rPr>
                <w:sz w:val="14"/>
                <w:szCs w:val="14"/>
                <w:color w:val="auto"/>
              </w:rPr>
            </w:pPr>
          </w:p>
        </w:tc>
        <w:tc>
          <w:tcPr>
            <w:tcW w:w="68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27.7</w:t>
            </w:r>
          </w:p>
        </w:tc>
        <w:tc>
          <w:tcPr>
            <w:tcW w:w="480" w:type="dxa"/>
            <w:vAlign w:val="bottom"/>
          </w:tcPr>
          <w:p>
            <w:pPr>
              <w:spacing w:after="0"/>
              <w:rPr>
                <w:sz w:val="14"/>
                <w:szCs w:val="14"/>
                <w:color w:val="auto"/>
              </w:rPr>
            </w:pPr>
          </w:p>
        </w:tc>
        <w:tc>
          <w:tcPr>
            <w:tcW w:w="70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26.0</w:t>
            </w:r>
          </w:p>
        </w:tc>
        <w:tc>
          <w:tcPr>
            <w:tcW w:w="440" w:type="dxa"/>
            <w:vAlign w:val="bottom"/>
          </w:tcPr>
          <w:p>
            <w:pPr>
              <w:spacing w:after="0"/>
              <w:rPr>
                <w:sz w:val="14"/>
                <w:szCs w:val="14"/>
                <w:color w:val="auto"/>
              </w:rPr>
            </w:pPr>
          </w:p>
        </w:tc>
        <w:tc>
          <w:tcPr>
            <w:tcW w:w="72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53.7</w:t>
            </w:r>
          </w:p>
        </w:tc>
        <w:tc>
          <w:tcPr>
            <w:tcW w:w="480" w:type="dxa"/>
            <w:vAlign w:val="bottom"/>
          </w:tcPr>
          <w:p>
            <w:pPr>
              <w:spacing w:after="0"/>
              <w:rPr>
                <w:sz w:val="14"/>
                <w:szCs w:val="14"/>
                <w:color w:val="auto"/>
              </w:rPr>
            </w:pPr>
          </w:p>
        </w:tc>
        <w:tc>
          <w:tcPr>
            <w:tcW w:w="70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25.9</w:t>
            </w:r>
          </w:p>
        </w:tc>
        <w:tc>
          <w:tcPr>
            <w:tcW w:w="480" w:type="dxa"/>
            <w:vAlign w:val="bottom"/>
          </w:tcPr>
          <w:p>
            <w:pPr>
              <w:spacing w:after="0"/>
              <w:rPr>
                <w:sz w:val="14"/>
                <w:szCs w:val="14"/>
                <w:color w:val="auto"/>
              </w:rPr>
            </w:pPr>
          </w:p>
        </w:tc>
        <w:tc>
          <w:tcPr>
            <w:tcW w:w="68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32.5</w:t>
            </w:r>
          </w:p>
        </w:tc>
        <w:tc>
          <w:tcPr>
            <w:tcW w:w="460" w:type="dxa"/>
            <w:vAlign w:val="bottom"/>
          </w:tcPr>
          <w:p>
            <w:pPr>
              <w:spacing w:after="0"/>
              <w:rPr>
                <w:sz w:val="14"/>
                <w:szCs w:val="14"/>
                <w:color w:val="auto"/>
              </w:rPr>
            </w:pPr>
          </w:p>
        </w:tc>
        <w:tc>
          <w:tcPr>
            <w:tcW w:w="72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58.4</w:t>
            </w:r>
          </w:p>
        </w:tc>
        <w:tc>
          <w:tcPr>
            <w:tcW w:w="440" w:type="dxa"/>
            <w:vAlign w:val="bottom"/>
          </w:tcPr>
          <w:p>
            <w:pPr>
              <w:spacing w:after="0"/>
              <w:rPr>
                <w:sz w:val="14"/>
                <w:szCs w:val="14"/>
                <w:color w:val="auto"/>
              </w:rPr>
            </w:pPr>
          </w:p>
        </w:tc>
        <w:tc>
          <w:tcPr>
            <w:tcW w:w="700" w:type="dxa"/>
            <w:vAlign w:val="bottom"/>
          </w:tcPr>
          <w:p>
            <w:pPr>
              <w:jc w:val="right"/>
              <w:spacing w:after="0" w:line="157" w:lineRule="exact"/>
              <w:rPr>
                <w:sz w:val="20"/>
                <w:szCs w:val="20"/>
                <w:color w:val="auto"/>
              </w:rPr>
            </w:pPr>
            <w:r>
              <w:rPr>
                <w:rFonts w:ascii="Calibri" w:cs="Calibri" w:eastAsia="Calibri" w:hAnsi="Calibri"/>
                <w:sz w:val="13"/>
                <w:szCs w:val="13"/>
                <w:color w:val="auto"/>
              </w:rPr>
              <w:t>112.0</w:t>
            </w:r>
          </w:p>
        </w:tc>
      </w:tr>
      <w:tr>
        <w:trPr>
          <w:trHeight w:val="178"/>
        </w:trPr>
        <w:tc>
          <w:tcPr>
            <w:tcW w:w="2300" w:type="dxa"/>
            <w:vAlign w:val="bottom"/>
            <w:shd w:val="clear" w:color="auto" w:fill="CCEEFF"/>
          </w:tcPr>
          <w:p>
            <w:pPr>
              <w:ind w:left="220"/>
              <w:spacing w:after="0"/>
              <w:rPr>
                <w:sz w:val="20"/>
                <w:szCs w:val="20"/>
                <w:color w:val="auto"/>
              </w:rPr>
            </w:pPr>
            <w:r>
              <w:rPr>
                <w:rFonts w:ascii="Calibri" w:cs="Calibri" w:eastAsia="Calibri" w:hAnsi="Calibri"/>
                <w:sz w:val="13"/>
                <w:szCs w:val="13"/>
                <w:color w:val="auto"/>
              </w:rPr>
              <w:t>Milk Makeup</w:t>
            </w:r>
          </w:p>
        </w:tc>
        <w:tc>
          <w:tcPr>
            <w:tcW w:w="13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28.4</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23.9</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52.3</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25.5</w:t>
            </w: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22.6</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48.2</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100.5</w:t>
            </w:r>
          </w:p>
        </w:tc>
      </w:tr>
      <w:tr>
        <w:trPr>
          <w:trHeight w:val="180"/>
        </w:trPr>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1"/>
        </w:trPr>
        <w:tc>
          <w:tcPr>
            <w:tcW w:w="2300" w:type="dxa"/>
            <w:vAlign w:val="bottom"/>
            <w:shd w:val="clear" w:color="auto" w:fill="CCEEFF"/>
          </w:tcPr>
          <w:p>
            <w:pPr>
              <w:spacing w:after="0" w:line="157" w:lineRule="exact"/>
              <w:rPr>
                <w:sz w:val="20"/>
                <w:szCs w:val="20"/>
                <w:color w:val="auto"/>
              </w:rPr>
            </w:pPr>
            <w:r>
              <w:rPr>
                <w:rFonts w:ascii="Calibri" w:cs="Calibri" w:eastAsia="Calibri" w:hAnsi="Calibri"/>
                <w:sz w:val="13"/>
                <w:szCs w:val="13"/>
                <w:b w:val="1"/>
                <w:bCs w:val="1"/>
                <w:color w:val="auto"/>
              </w:rPr>
              <w:t>Adjusted Gross Proft</w:t>
            </w:r>
          </w:p>
        </w:tc>
        <w:tc>
          <w:tcPr>
            <w:tcW w:w="1320" w:type="dxa"/>
            <w:vAlign w:val="bottom"/>
            <w:shd w:val="clear" w:color="auto" w:fill="CCEEFF"/>
          </w:tcPr>
          <w:p>
            <w:pPr>
              <w:jc w:val="right"/>
              <w:ind w:right="294"/>
              <w:spacing w:after="0" w:line="157" w:lineRule="exact"/>
              <w:rPr>
                <w:sz w:val="20"/>
                <w:szCs w:val="20"/>
                <w:color w:val="auto"/>
              </w:rPr>
            </w:pPr>
            <w:r>
              <w:rPr>
                <w:rFonts w:ascii="Calibri" w:cs="Calibri" w:eastAsia="Calibri" w:hAnsi="Calibri"/>
                <w:sz w:val="13"/>
                <w:szCs w:val="13"/>
                <w:b w:val="1"/>
                <w:bCs w:val="1"/>
                <w:color w:val="auto"/>
              </w:rPr>
              <w:t>$</w:t>
            </w:r>
          </w:p>
        </w:tc>
        <w:tc>
          <w:tcPr>
            <w:tcW w:w="68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b w:val="1"/>
                <w:bCs w:val="1"/>
                <w:color w:val="auto"/>
              </w:rPr>
              <w:t>39.2</w:t>
            </w:r>
          </w:p>
        </w:tc>
        <w:tc>
          <w:tcPr>
            <w:tcW w:w="480" w:type="dxa"/>
            <w:vAlign w:val="bottom"/>
            <w:shd w:val="clear" w:color="auto" w:fill="CCEEFF"/>
          </w:tcPr>
          <w:p>
            <w:pPr>
              <w:jc w:val="right"/>
              <w:ind w:right="294"/>
              <w:spacing w:after="0" w:line="157" w:lineRule="exact"/>
              <w:rPr>
                <w:sz w:val="20"/>
                <w:szCs w:val="20"/>
                <w:color w:val="auto"/>
              </w:rPr>
            </w:pPr>
            <w:r>
              <w:rPr>
                <w:rFonts w:ascii="Calibri" w:cs="Calibri" w:eastAsia="Calibri" w:hAnsi="Calibri"/>
                <w:sz w:val="13"/>
                <w:szCs w:val="13"/>
                <w:b w:val="1"/>
                <w:bCs w:val="1"/>
                <w:color w:val="auto"/>
              </w:rPr>
              <w:t>$</w:t>
            </w:r>
          </w:p>
        </w:tc>
        <w:tc>
          <w:tcPr>
            <w:tcW w:w="700" w:type="dxa"/>
            <w:vAlign w:val="bottom"/>
            <w:shd w:val="clear" w:color="auto" w:fill="CCEEFF"/>
          </w:tcPr>
          <w:p>
            <w:pPr>
              <w:jc w:val="right"/>
              <w:ind w:right="34"/>
              <w:spacing w:after="0" w:line="157" w:lineRule="exact"/>
              <w:rPr>
                <w:sz w:val="20"/>
                <w:szCs w:val="20"/>
                <w:color w:val="auto"/>
              </w:rPr>
            </w:pPr>
            <w:r>
              <w:rPr>
                <w:rFonts w:ascii="Calibri" w:cs="Calibri" w:eastAsia="Calibri" w:hAnsi="Calibri"/>
                <w:sz w:val="13"/>
                <w:szCs w:val="13"/>
                <w:b w:val="1"/>
                <w:bCs w:val="1"/>
                <w:color w:val="auto"/>
              </w:rPr>
              <w:t>33.8</w:t>
            </w:r>
          </w:p>
        </w:tc>
        <w:tc>
          <w:tcPr>
            <w:tcW w:w="440" w:type="dxa"/>
            <w:vAlign w:val="bottom"/>
            <w:shd w:val="clear" w:color="auto" w:fill="CCEEFF"/>
          </w:tcPr>
          <w:p>
            <w:pPr>
              <w:jc w:val="right"/>
              <w:ind w:right="254"/>
              <w:spacing w:after="0" w:line="157" w:lineRule="exact"/>
              <w:rPr>
                <w:sz w:val="20"/>
                <w:szCs w:val="20"/>
                <w:color w:val="auto"/>
              </w:rPr>
            </w:pPr>
            <w:r>
              <w:rPr>
                <w:rFonts w:ascii="Calibri" w:cs="Calibri" w:eastAsia="Calibri" w:hAnsi="Calibri"/>
                <w:sz w:val="13"/>
                <w:szCs w:val="13"/>
                <w:b w:val="1"/>
                <w:bCs w:val="1"/>
                <w:color w:val="auto"/>
              </w:rPr>
              <w:t>$</w:t>
            </w:r>
          </w:p>
        </w:tc>
        <w:tc>
          <w:tcPr>
            <w:tcW w:w="72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b w:val="1"/>
                <w:bCs w:val="1"/>
                <w:color w:val="auto"/>
              </w:rPr>
              <w:t>73.0</w:t>
            </w:r>
          </w:p>
        </w:tc>
        <w:tc>
          <w:tcPr>
            <w:tcW w:w="480" w:type="dxa"/>
            <w:vAlign w:val="bottom"/>
            <w:shd w:val="clear" w:color="auto" w:fill="CCEEFF"/>
          </w:tcPr>
          <w:p>
            <w:pPr>
              <w:jc w:val="right"/>
              <w:ind w:right="294"/>
              <w:spacing w:after="0" w:line="157" w:lineRule="exact"/>
              <w:rPr>
                <w:sz w:val="20"/>
                <w:szCs w:val="20"/>
                <w:color w:val="auto"/>
              </w:rPr>
            </w:pPr>
            <w:r>
              <w:rPr>
                <w:rFonts w:ascii="Calibri" w:cs="Calibri" w:eastAsia="Calibri" w:hAnsi="Calibri"/>
                <w:sz w:val="13"/>
                <w:szCs w:val="13"/>
                <w:b w:val="1"/>
                <w:bCs w:val="1"/>
                <w:color w:val="auto"/>
              </w:rPr>
              <w:t>$</w:t>
            </w:r>
          </w:p>
        </w:tc>
        <w:tc>
          <w:tcPr>
            <w:tcW w:w="700" w:type="dxa"/>
            <w:vAlign w:val="bottom"/>
            <w:shd w:val="clear" w:color="auto" w:fill="CCEEFF"/>
          </w:tcPr>
          <w:p>
            <w:pPr>
              <w:jc w:val="right"/>
              <w:ind w:right="34"/>
              <w:spacing w:after="0" w:line="157" w:lineRule="exact"/>
              <w:rPr>
                <w:sz w:val="20"/>
                <w:szCs w:val="20"/>
                <w:color w:val="auto"/>
              </w:rPr>
            </w:pPr>
            <w:r>
              <w:rPr>
                <w:rFonts w:ascii="Calibri" w:cs="Calibri" w:eastAsia="Calibri" w:hAnsi="Calibri"/>
                <w:sz w:val="13"/>
                <w:szCs w:val="13"/>
                <w:b w:val="1"/>
                <w:bCs w:val="1"/>
                <w:color w:val="auto"/>
              </w:rPr>
              <w:t>37.2</w:t>
            </w:r>
          </w:p>
        </w:tc>
        <w:tc>
          <w:tcPr>
            <w:tcW w:w="480" w:type="dxa"/>
            <w:vAlign w:val="bottom"/>
            <w:shd w:val="clear" w:color="auto" w:fill="CCEEFF"/>
          </w:tcPr>
          <w:p>
            <w:pPr>
              <w:jc w:val="right"/>
              <w:ind w:right="294"/>
              <w:spacing w:after="0" w:line="157" w:lineRule="exact"/>
              <w:rPr>
                <w:sz w:val="20"/>
                <w:szCs w:val="20"/>
                <w:color w:val="auto"/>
              </w:rPr>
            </w:pPr>
            <w:r>
              <w:rPr>
                <w:rFonts w:ascii="Calibri" w:cs="Calibri" w:eastAsia="Calibri" w:hAnsi="Calibri"/>
                <w:sz w:val="13"/>
                <w:szCs w:val="13"/>
                <w:b w:val="1"/>
                <w:bCs w:val="1"/>
                <w:color w:val="auto"/>
              </w:rPr>
              <w:t>$</w:t>
            </w:r>
          </w:p>
        </w:tc>
        <w:tc>
          <w:tcPr>
            <w:tcW w:w="68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b w:val="1"/>
                <w:bCs w:val="1"/>
                <w:color w:val="auto"/>
              </w:rPr>
              <w:t>40.3</w:t>
            </w:r>
          </w:p>
        </w:tc>
        <w:tc>
          <w:tcPr>
            <w:tcW w:w="460" w:type="dxa"/>
            <w:vAlign w:val="bottom"/>
            <w:shd w:val="clear" w:color="auto" w:fill="CCEEFF"/>
          </w:tcPr>
          <w:p>
            <w:pPr>
              <w:jc w:val="right"/>
              <w:ind w:right="274"/>
              <w:spacing w:after="0" w:line="157" w:lineRule="exact"/>
              <w:rPr>
                <w:sz w:val="20"/>
                <w:szCs w:val="20"/>
                <w:color w:val="auto"/>
              </w:rPr>
            </w:pPr>
            <w:r>
              <w:rPr>
                <w:rFonts w:ascii="Calibri" w:cs="Calibri" w:eastAsia="Calibri" w:hAnsi="Calibri"/>
                <w:sz w:val="13"/>
                <w:szCs w:val="13"/>
                <w:b w:val="1"/>
                <w:bCs w:val="1"/>
                <w:color w:val="auto"/>
              </w:rPr>
              <w:t>$</w:t>
            </w:r>
          </w:p>
        </w:tc>
        <w:tc>
          <w:tcPr>
            <w:tcW w:w="720" w:type="dxa"/>
            <w:vAlign w:val="bottom"/>
            <w:shd w:val="clear" w:color="auto" w:fill="CCEEFF"/>
          </w:tcPr>
          <w:p>
            <w:pPr>
              <w:jc w:val="right"/>
              <w:ind w:right="34"/>
              <w:spacing w:after="0" w:line="157" w:lineRule="exact"/>
              <w:rPr>
                <w:sz w:val="20"/>
                <w:szCs w:val="20"/>
                <w:color w:val="auto"/>
              </w:rPr>
            </w:pPr>
            <w:r>
              <w:rPr>
                <w:rFonts w:ascii="Calibri" w:cs="Calibri" w:eastAsia="Calibri" w:hAnsi="Calibri"/>
                <w:sz w:val="13"/>
                <w:szCs w:val="13"/>
                <w:b w:val="1"/>
                <w:bCs w:val="1"/>
                <w:color w:val="auto"/>
              </w:rPr>
              <w:t>77.4</w:t>
            </w:r>
          </w:p>
        </w:tc>
        <w:tc>
          <w:tcPr>
            <w:tcW w:w="440" w:type="dxa"/>
            <w:vAlign w:val="bottom"/>
            <w:shd w:val="clear" w:color="auto" w:fill="CCEEFF"/>
          </w:tcPr>
          <w:p>
            <w:pPr>
              <w:jc w:val="right"/>
              <w:ind w:right="254"/>
              <w:spacing w:after="0" w:line="157" w:lineRule="exact"/>
              <w:rPr>
                <w:sz w:val="20"/>
                <w:szCs w:val="20"/>
                <w:color w:val="auto"/>
              </w:rPr>
            </w:pPr>
            <w:r>
              <w:rPr>
                <w:rFonts w:ascii="Calibri" w:cs="Calibri" w:eastAsia="Calibri" w:hAnsi="Calibri"/>
                <w:sz w:val="13"/>
                <w:szCs w:val="13"/>
                <w:b w:val="1"/>
                <w:bCs w:val="1"/>
                <w:color w:val="auto"/>
              </w:rPr>
              <w:t>$</w:t>
            </w:r>
          </w:p>
        </w:tc>
        <w:tc>
          <w:tcPr>
            <w:tcW w:w="70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150.4</w:t>
            </w:r>
          </w:p>
        </w:tc>
      </w:tr>
      <w:tr>
        <w:trPr>
          <w:trHeight w:val="164"/>
        </w:trPr>
        <w:tc>
          <w:tcPr>
            <w:tcW w:w="2300" w:type="dxa"/>
            <w:vAlign w:val="bottom"/>
          </w:tcPr>
          <w:p>
            <w:pPr>
              <w:ind w:left="220"/>
              <w:spacing w:after="0" w:line="157" w:lineRule="exact"/>
              <w:rPr>
                <w:sz w:val="20"/>
                <w:szCs w:val="20"/>
                <w:color w:val="auto"/>
              </w:rPr>
            </w:pPr>
            <w:r>
              <w:rPr>
                <w:rFonts w:ascii="Calibri" w:cs="Calibri" w:eastAsia="Calibri" w:hAnsi="Calibri"/>
                <w:sz w:val="13"/>
                <w:szCs w:val="13"/>
                <w:color w:val="auto"/>
              </w:rPr>
              <w:t>Obagi Skincare</w:t>
            </w:r>
          </w:p>
        </w:tc>
        <w:tc>
          <w:tcPr>
            <w:tcW w:w="1320" w:type="dxa"/>
            <w:vAlign w:val="bottom"/>
          </w:tcPr>
          <w:p>
            <w:pPr>
              <w:spacing w:after="0"/>
              <w:rPr>
                <w:sz w:val="14"/>
                <w:szCs w:val="14"/>
                <w:color w:val="auto"/>
              </w:rPr>
            </w:pPr>
          </w:p>
        </w:tc>
        <w:tc>
          <w:tcPr>
            <w:tcW w:w="68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20.4</w:t>
            </w:r>
          </w:p>
        </w:tc>
        <w:tc>
          <w:tcPr>
            <w:tcW w:w="480" w:type="dxa"/>
            <w:vAlign w:val="bottom"/>
          </w:tcPr>
          <w:p>
            <w:pPr>
              <w:spacing w:after="0"/>
              <w:rPr>
                <w:sz w:val="14"/>
                <w:szCs w:val="14"/>
                <w:color w:val="auto"/>
              </w:rPr>
            </w:pPr>
          </w:p>
        </w:tc>
        <w:tc>
          <w:tcPr>
            <w:tcW w:w="70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18.0</w:t>
            </w:r>
          </w:p>
        </w:tc>
        <w:tc>
          <w:tcPr>
            <w:tcW w:w="440" w:type="dxa"/>
            <w:vAlign w:val="bottom"/>
          </w:tcPr>
          <w:p>
            <w:pPr>
              <w:spacing w:after="0"/>
              <w:rPr>
                <w:sz w:val="14"/>
                <w:szCs w:val="14"/>
                <w:color w:val="auto"/>
              </w:rPr>
            </w:pPr>
          </w:p>
        </w:tc>
        <w:tc>
          <w:tcPr>
            <w:tcW w:w="72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38.5</w:t>
            </w:r>
          </w:p>
        </w:tc>
        <w:tc>
          <w:tcPr>
            <w:tcW w:w="480" w:type="dxa"/>
            <w:vAlign w:val="bottom"/>
          </w:tcPr>
          <w:p>
            <w:pPr>
              <w:spacing w:after="0"/>
              <w:rPr>
                <w:sz w:val="14"/>
                <w:szCs w:val="14"/>
                <w:color w:val="auto"/>
              </w:rPr>
            </w:pPr>
          </w:p>
        </w:tc>
        <w:tc>
          <w:tcPr>
            <w:tcW w:w="70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19.3</w:t>
            </w:r>
          </w:p>
        </w:tc>
        <w:tc>
          <w:tcPr>
            <w:tcW w:w="480" w:type="dxa"/>
            <w:vAlign w:val="bottom"/>
          </w:tcPr>
          <w:p>
            <w:pPr>
              <w:spacing w:after="0"/>
              <w:rPr>
                <w:sz w:val="14"/>
                <w:szCs w:val="14"/>
                <w:color w:val="auto"/>
              </w:rPr>
            </w:pPr>
          </w:p>
        </w:tc>
        <w:tc>
          <w:tcPr>
            <w:tcW w:w="68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26.0</w:t>
            </w:r>
          </w:p>
        </w:tc>
        <w:tc>
          <w:tcPr>
            <w:tcW w:w="460" w:type="dxa"/>
            <w:vAlign w:val="bottom"/>
          </w:tcPr>
          <w:p>
            <w:pPr>
              <w:spacing w:after="0"/>
              <w:rPr>
                <w:sz w:val="14"/>
                <w:szCs w:val="14"/>
                <w:color w:val="auto"/>
              </w:rPr>
            </w:pPr>
          </w:p>
        </w:tc>
        <w:tc>
          <w:tcPr>
            <w:tcW w:w="72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45.3</w:t>
            </w:r>
          </w:p>
        </w:tc>
        <w:tc>
          <w:tcPr>
            <w:tcW w:w="440" w:type="dxa"/>
            <w:vAlign w:val="bottom"/>
          </w:tcPr>
          <w:p>
            <w:pPr>
              <w:spacing w:after="0"/>
              <w:rPr>
                <w:sz w:val="14"/>
                <w:szCs w:val="14"/>
                <w:color w:val="auto"/>
              </w:rPr>
            </w:pPr>
          </w:p>
        </w:tc>
        <w:tc>
          <w:tcPr>
            <w:tcW w:w="700" w:type="dxa"/>
            <w:vAlign w:val="bottom"/>
          </w:tcPr>
          <w:p>
            <w:pPr>
              <w:jc w:val="right"/>
              <w:spacing w:after="0" w:line="157" w:lineRule="exact"/>
              <w:rPr>
                <w:sz w:val="20"/>
                <w:szCs w:val="20"/>
                <w:color w:val="auto"/>
              </w:rPr>
            </w:pPr>
            <w:r>
              <w:rPr>
                <w:rFonts w:ascii="Calibri" w:cs="Calibri" w:eastAsia="Calibri" w:hAnsi="Calibri"/>
                <w:sz w:val="13"/>
                <w:szCs w:val="13"/>
                <w:color w:val="auto"/>
              </w:rPr>
              <w:t>83.7</w:t>
            </w:r>
          </w:p>
        </w:tc>
      </w:tr>
      <w:tr>
        <w:trPr>
          <w:trHeight w:val="178"/>
        </w:trPr>
        <w:tc>
          <w:tcPr>
            <w:tcW w:w="2300" w:type="dxa"/>
            <w:vAlign w:val="bottom"/>
            <w:shd w:val="clear" w:color="auto" w:fill="CCEEFF"/>
          </w:tcPr>
          <w:p>
            <w:pPr>
              <w:ind w:left="220"/>
              <w:spacing w:after="0"/>
              <w:rPr>
                <w:sz w:val="20"/>
                <w:szCs w:val="20"/>
                <w:color w:val="auto"/>
              </w:rPr>
            </w:pPr>
            <w:r>
              <w:rPr>
                <w:rFonts w:ascii="Calibri" w:cs="Calibri" w:eastAsia="Calibri" w:hAnsi="Calibri"/>
                <w:sz w:val="13"/>
                <w:szCs w:val="13"/>
                <w:color w:val="auto"/>
              </w:rPr>
              <w:t>Milk Makeup</w:t>
            </w:r>
          </w:p>
        </w:tc>
        <w:tc>
          <w:tcPr>
            <w:tcW w:w="13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18.7</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15.8</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34.5</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17.9</w:t>
            </w: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14.3</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32.2</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66.7</w:t>
            </w:r>
          </w:p>
        </w:tc>
      </w:tr>
      <w:tr>
        <w:trPr>
          <w:trHeight w:val="180"/>
        </w:trPr>
        <w:tc>
          <w:tcPr>
            <w:tcW w:w="2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1"/>
        </w:trPr>
        <w:tc>
          <w:tcPr>
            <w:tcW w:w="2300" w:type="dxa"/>
            <w:vAlign w:val="bottom"/>
            <w:shd w:val="clear" w:color="auto" w:fill="CCEEFF"/>
          </w:tcPr>
          <w:p>
            <w:pPr>
              <w:spacing w:after="0" w:line="157" w:lineRule="exact"/>
              <w:rPr>
                <w:sz w:val="20"/>
                <w:szCs w:val="20"/>
                <w:color w:val="auto"/>
              </w:rPr>
            </w:pPr>
            <w:r>
              <w:rPr>
                <w:rFonts w:ascii="Calibri" w:cs="Calibri" w:eastAsia="Calibri" w:hAnsi="Calibri"/>
                <w:sz w:val="13"/>
                <w:szCs w:val="13"/>
                <w:b w:val="1"/>
                <w:bCs w:val="1"/>
                <w:color w:val="auto"/>
              </w:rPr>
              <w:t>Adjusted EBITDA</w:t>
            </w:r>
          </w:p>
        </w:tc>
        <w:tc>
          <w:tcPr>
            <w:tcW w:w="1320" w:type="dxa"/>
            <w:vAlign w:val="bottom"/>
            <w:shd w:val="clear" w:color="auto" w:fill="CCEEFF"/>
          </w:tcPr>
          <w:p>
            <w:pPr>
              <w:jc w:val="right"/>
              <w:ind w:right="294"/>
              <w:spacing w:after="0" w:line="157" w:lineRule="exact"/>
              <w:rPr>
                <w:sz w:val="20"/>
                <w:szCs w:val="20"/>
                <w:color w:val="auto"/>
              </w:rPr>
            </w:pPr>
            <w:r>
              <w:rPr>
                <w:rFonts w:ascii="Calibri" w:cs="Calibri" w:eastAsia="Calibri" w:hAnsi="Calibri"/>
                <w:sz w:val="13"/>
                <w:szCs w:val="13"/>
                <w:b w:val="1"/>
                <w:bCs w:val="1"/>
                <w:color w:val="auto"/>
              </w:rPr>
              <w:t>$</w:t>
            </w:r>
          </w:p>
        </w:tc>
        <w:tc>
          <w:tcPr>
            <w:tcW w:w="68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b w:val="1"/>
                <w:bCs w:val="1"/>
                <w:color w:val="auto"/>
              </w:rPr>
              <w:t>10.1</w:t>
            </w:r>
          </w:p>
        </w:tc>
        <w:tc>
          <w:tcPr>
            <w:tcW w:w="480" w:type="dxa"/>
            <w:vAlign w:val="bottom"/>
            <w:shd w:val="clear" w:color="auto" w:fill="CCEEFF"/>
          </w:tcPr>
          <w:p>
            <w:pPr>
              <w:jc w:val="right"/>
              <w:ind w:right="294"/>
              <w:spacing w:after="0" w:line="157" w:lineRule="exact"/>
              <w:rPr>
                <w:sz w:val="20"/>
                <w:szCs w:val="20"/>
                <w:color w:val="auto"/>
              </w:rPr>
            </w:pPr>
            <w:r>
              <w:rPr>
                <w:rFonts w:ascii="Calibri" w:cs="Calibri" w:eastAsia="Calibri" w:hAnsi="Calibri"/>
                <w:sz w:val="13"/>
                <w:szCs w:val="13"/>
                <w:b w:val="1"/>
                <w:bCs w:val="1"/>
                <w:color w:val="auto"/>
              </w:rPr>
              <w:t>$</w:t>
            </w:r>
          </w:p>
        </w:tc>
        <w:tc>
          <w:tcPr>
            <w:tcW w:w="700" w:type="dxa"/>
            <w:vAlign w:val="bottom"/>
            <w:shd w:val="clear" w:color="auto" w:fill="CCEEFF"/>
          </w:tcPr>
          <w:p>
            <w:pPr>
              <w:jc w:val="right"/>
              <w:ind w:right="34"/>
              <w:spacing w:after="0" w:line="157" w:lineRule="exact"/>
              <w:rPr>
                <w:sz w:val="20"/>
                <w:szCs w:val="20"/>
                <w:color w:val="auto"/>
              </w:rPr>
            </w:pPr>
            <w:r>
              <w:rPr>
                <w:rFonts w:ascii="Calibri" w:cs="Calibri" w:eastAsia="Calibri" w:hAnsi="Calibri"/>
                <w:sz w:val="13"/>
                <w:szCs w:val="13"/>
                <w:b w:val="1"/>
                <w:bCs w:val="1"/>
                <w:color w:val="auto"/>
              </w:rPr>
              <w:t>3.9</w:t>
            </w:r>
          </w:p>
        </w:tc>
        <w:tc>
          <w:tcPr>
            <w:tcW w:w="440" w:type="dxa"/>
            <w:vAlign w:val="bottom"/>
            <w:shd w:val="clear" w:color="auto" w:fill="CCEEFF"/>
          </w:tcPr>
          <w:p>
            <w:pPr>
              <w:jc w:val="right"/>
              <w:ind w:right="254"/>
              <w:spacing w:after="0" w:line="157" w:lineRule="exact"/>
              <w:rPr>
                <w:sz w:val="20"/>
                <w:szCs w:val="20"/>
                <w:color w:val="auto"/>
              </w:rPr>
            </w:pPr>
            <w:r>
              <w:rPr>
                <w:rFonts w:ascii="Calibri" w:cs="Calibri" w:eastAsia="Calibri" w:hAnsi="Calibri"/>
                <w:sz w:val="13"/>
                <w:szCs w:val="13"/>
                <w:b w:val="1"/>
                <w:bCs w:val="1"/>
                <w:color w:val="auto"/>
              </w:rPr>
              <w:t>$</w:t>
            </w:r>
          </w:p>
        </w:tc>
        <w:tc>
          <w:tcPr>
            <w:tcW w:w="72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b w:val="1"/>
                <w:bCs w:val="1"/>
                <w:color w:val="auto"/>
              </w:rPr>
              <w:t>13.9</w:t>
            </w:r>
          </w:p>
        </w:tc>
        <w:tc>
          <w:tcPr>
            <w:tcW w:w="480" w:type="dxa"/>
            <w:vAlign w:val="bottom"/>
            <w:shd w:val="clear" w:color="auto" w:fill="CCEEFF"/>
          </w:tcPr>
          <w:p>
            <w:pPr>
              <w:jc w:val="right"/>
              <w:ind w:right="294"/>
              <w:spacing w:after="0" w:line="157" w:lineRule="exact"/>
              <w:rPr>
                <w:sz w:val="20"/>
                <w:szCs w:val="20"/>
                <w:color w:val="auto"/>
              </w:rPr>
            </w:pPr>
            <w:r>
              <w:rPr>
                <w:rFonts w:ascii="Calibri" w:cs="Calibri" w:eastAsia="Calibri" w:hAnsi="Calibri"/>
                <w:sz w:val="13"/>
                <w:szCs w:val="13"/>
                <w:b w:val="1"/>
                <w:bCs w:val="1"/>
                <w:color w:val="auto"/>
              </w:rPr>
              <w:t>$</w:t>
            </w:r>
          </w:p>
        </w:tc>
        <w:tc>
          <w:tcPr>
            <w:tcW w:w="700" w:type="dxa"/>
            <w:vAlign w:val="bottom"/>
            <w:shd w:val="clear" w:color="auto" w:fill="CCEEFF"/>
          </w:tcPr>
          <w:p>
            <w:pPr>
              <w:jc w:val="right"/>
              <w:ind w:right="34"/>
              <w:spacing w:after="0" w:line="157" w:lineRule="exact"/>
              <w:rPr>
                <w:sz w:val="20"/>
                <w:szCs w:val="20"/>
                <w:color w:val="auto"/>
              </w:rPr>
            </w:pPr>
            <w:r>
              <w:rPr>
                <w:rFonts w:ascii="Calibri" w:cs="Calibri" w:eastAsia="Calibri" w:hAnsi="Calibri"/>
                <w:sz w:val="13"/>
                <w:szCs w:val="13"/>
                <w:b w:val="1"/>
                <w:bCs w:val="1"/>
                <w:color w:val="auto"/>
              </w:rPr>
              <w:t>4.9</w:t>
            </w:r>
          </w:p>
        </w:tc>
        <w:tc>
          <w:tcPr>
            <w:tcW w:w="480" w:type="dxa"/>
            <w:vAlign w:val="bottom"/>
            <w:shd w:val="clear" w:color="auto" w:fill="CCEEFF"/>
          </w:tcPr>
          <w:p>
            <w:pPr>
              <w:jc w:val="right"/>
              <w:ind w:right="294"/>
              <w:spacing w:after="0" w:line="157" w:lineRule="exact"/>
              <w:rPr>
                <w:sz w:val="20"/>
                <w:szCs w:val="20"/>
                <w:color w:val="auto"/>
              </w:rPr>
            </w:pPr>
            <w:r>
              <w:rPr>
                <w:rFonts w:ascii="Calibri" w:cs="Calibri" w:eastAsia="Calibri" w:hAnsi="Calibri"/>
                <w:sz w:val="13"/>
                <w:szCs w:val="13"/>
                <w:b w:val="1"/>
                <w:bCs w:val="1"/>
                <w:color w:val="auto"/>
              </w:rPr>
              <w:t>$</w:t>
            </w:r>
          </w:p>
        </w:tc>
        <w:tc>
          <w:tcPr>
            <w:tcW w:w="680" w:type="dxa"/>
            <w:vAlign w:val="bottom"/>
            <w:shd w:val="clear" w:color="auto" w:fill="CCEEFF"/>
          </w:tcPr>
          <w:p>
            <w:pPr>
              <w:jc w:val="right"/>
              <w:ind w:right="14"/>
              <w:spacing w:after="0" w:line="157" w:lineRule="exact"/>
              <w:rPr>
                <w:sz w:val="20"/>
                <w:szCs w:val="20"/>
                <w:color w:val="auto"/>
              </w:rPr>
            </w:pPr>
            <w:r>
              <w:rPr>
                <w:rFonts w:ascii="Calibri" w:cs="Calibri" w:eastAsia="Calibri" w:hAnsi="Calibri"/>
                <w:sz w:val="13"/>
                <w:szCs w:val="13"/>
                <w:b w:val="1"/>
                <w:bCs w:val="1"/>
                <w:color w:val="auto"/>
              </w:rPr>
              <w:t>5.6</w:t>
            </w:r>
          </w:p>
        </w:tc>
        <w:tc>
          <w:tcPr>
            <w:tcW w:w="460" w:type="dxa"/>
            <w:vAlign w:val="bottom"/>
            <w:shd w:val="clear" w:color="auto" w:fill="CCEEFF"/>
          </w:tcPr>
          <w:p>
            <w:pPr>
              <w:jc w:val="right"/>
              <w:ind w:right="274"/>
              <w:spacing w:after="0" w:line="157" w:lineRule="exact"/>
              <w:rPr>
                <w:sz w:val="20"/>
                <w:szCs w:val="20"/>
                <w:color w:val="auto"/>
              </w:rPr>
            </w:pPr>
            <w:r>
              <w:rPr>
                <w:rFonts w:ascii="Calibri" w:cs="Calibri" w:eastAsia="Calibri" w:hAnsi="Calibri"/>
                <w:sz w:val="13"/>
                <w:szCs w:val="13"/>
                <w:b w:val="1"/>
                <w:bCs w:val="1"/>
                <w:color w:val="auto"/>
              </w:rPr>
              <w:t>$</w:t>
            </w:r>
          </w:p>
        </w:tc>
        <w:tc>
          <w:tcPr>
            <w:tcW w:w="720" w:type="dxa"/>
            <w:vAlign w:val="bottom"/>
            <w:shd w:val="clear" w:color="auto" w:fill="CCEEFF"/>
          </w:tcPr>
          <w:p>
            <w:pPr>
              <w:jc w:val="right"/>
              <w:ind w:right="34"/>
              <w:spacing w:after="0" w:line="157" w:lineRule="exact"/>
              <w:rPr>
                <w:sz w:val="20"/>
                <w:szCs w:val="20"/>
                <w:color w:val="auto"/>
              </w:rPr>
            </w:pPr>
            <w:r>
              <w:rPr>
                <w:rFonts w:ascii="Calibri" w:cs="Calibri" w:eastAsia="Calibri" w:hAnsi="Calibri"/>
                <w:sz w:val="13"/>
                <w:szCs w:val="13"/>
                <w:b w:val="1"/>
                <w:bCs w:val="1"/>
                <w:color w:val="auto"/>
              </w:rPr>
              <w:t>10.5</w:t>
            </w:r>
          </w:p>
        </w:tc>
        <w:tc>
          <w:tcPr>
            <w:tcW w:w="440" w:type="dxa"/>
            <w:vAlign w:val="bottom"/>
            <w:shd w:val="clear" w:color="auto" w:fill="CCEEFF"/>
          </w:tcPr>
          <w:p>
            <w:pPr>
              <w:jc w:val="right"/>
              <w:ind w:right="254"/>
              <w:spacing w:after="0" w:line="157" w:lineRule="exact"/>
              <w:rPr>
                <w:sz w:val="20"/>
                <w:szCs w:val="20"/>
                <w:color w:val="auto"/>
              </w:rPr>
            </w:pPr>
            <w:r>
              <w:rPr>
                <w:rFonts w:ascii="Calibri" w:cs="Calibri" w:eastAsia="Calibri" w:hAnsi="Calibri"/>
                <w:sz w:val="13"/>
                <w:szCs w:val="13"/>
                <w:b w:val="1"/>
                <w:bCs w:val="1"/>
                <w:color w:val="auto"/>
              </w:rPr>
              <w:t>$</w:t>
            </w:r>
          </w:p>
        </w:tc>
        <w:tc>
          <w:tcPr>
            <w:tcW w:w="700" w:type="dxa"/>
            <w:vAlign w:val="bottom"/>
            <w:shd w:val="clear" w:color="auto" w:fill="CCEEFF"/>
          </w:tcPr>
          <w:p>
            <w:pPr>
              <w:jc w:val="right"/>
              <w:spacing w:after="0" w:line="157" w:lineRule="exact"/>
              <w:rPr>
                <w:sz w:val="20"/>
                <w:szCs w:val="20"/>
                <w:color w:val="auto"/>
              </w:rPr>
            </w:pPr>
            <w:r>
              <w:rPr>
                <w:rFonts w:ascii="Calibri" w:cs="Calibri" w:eastAsia="Calibri" w:hAnsi="Calibri"/>
                <w:sz w:val="13"/>
                <w:szCs w:val="13"/>
                <w:b w:val="1"/>
                <w:bCs w:val="1"/>
                <w:color w:val="auto"/>
              </w:rPr>
              <w:t>24.4</w:t>
            </w:r>
          </w:p>
        </w:tc>
      </w:tr>
      <w:tr>
        <w:trPr>
          <w:trHeight w:val="164"/>
        </w:trPr>
        <w:tc>
          <w:tcPr>
            <w:tcW w:w="2300" w:type="dxa"/>
            <w:vAlign w:val="bottom"/>
          </w:tcPr>
          <w:p>
            <w:pPr>
              <w:ind w:left="220"/>
              <w:spacing w:after="0" w:line="157" w:lineRule="exact"/>
              <w:rPr>
                <w:sz w:val="20"/>
                <w:szCs w:val="20"/>
                <w:color w:val="auto"/>
              </w:rPr>
            </w:pPr>
            <w:r>
              <w:rPr>
                <w:rFonts w:ascii="Calibri" w:cs="Calibri" w:eastAsia="Calibri" w:hAnsi="Calibri"/>
                <w:sz w:val="13"/>
                <w:szCs w:val="13"/>
                <w:color w:val="auto"/>
              </w:rPr>
              <w:t>Obagi Skincare</w:t>
            </w:r>
          </w:p>
        </w:tc>
        <w:tc>
          <w:tcPr>
            <w:tcW w:w="1320" w:type="dxa"/>
            <w:vAlign w:val="bottom"/>
          </w:tcPr>
          <w:p>
            <w:pPr>
              <w:spacing w:after="0"/>
              <w:rPr>
                <w:sz w:val="14"/>
                <w:szCs w:val="14"/>
                <w:color w:val="auto"/>
              </w:rPr>
            </w:pPr>
          </w:p>
        </w:tc>
        <w:tc>
          <w:tcPr>
            <w:tcW w:w="68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5.5</w:t>
            </w:r>
          </w:p>
        </w:tc>
        <w:tc>
          <w:tcPr>
            <w:tcW w:w="480" w:type="dxa"/>
            <w:vAlign w:val="bottom"/>
          </w:tcPr>
          <w:p>
            <w:pPr>
              <w:spacing w:after="0"/>
              <w:rPr>
                <w:sz w:val="14"/>
                <w:szCs w:val="14"/>
                <w:color w:val="auto"/>
              </w:rPr>
            </w:pPr>
          </w:p>
        </w:tc>
        <w:tc>
          <w:tcPr>
            <w:tcW w:w="70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4.1</w:t>
            </w:r>
          </w:p>
        </w:tc>
        <w:tc>
          <w:tcPr>
            <w:tcW w:w="440" w:type="dxa"/>
            <w:vAlign w:val="bottom"/>
          </w:tcPr>
          <w:p>
            <w:pPr>
              <w:spacing w:after="0"/>
              <w:rPr>
                <w:sz w:val="14"/>
                <w:szCs w:val="14"/>
                <w:color w:val="auto"/>
              </w:rPr>
            </w:pPr>
          </w:p>
        </w:tc>
        <w:tc>
          <w:tcPr>
            <w:tcW w:w="72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9.6</w:t>
            </w:r>
          </w:p>
        </w:tc>
        <w:tc>
          <w:tcPr>
            <w:tcW w:w="480" w:type="dxa"/>
            <w:vAlign w:val="bottom"/>
          </w:tcPr>
          <w:p>
            <w:pPr>
              <w:spacing w:after="0"/>
              <w:rPr>
                <w:sz w:val="14"/>
                <w:szCs w:val="14"/>
                <w:color w:val="auto"/>
              </w:rPr>
            </w:pPr>
          </w:p>
        </w:tc>
        <w:tc>
          <w:tcPr>
            <w:tcW w:w="70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3.3</w:t>
            </w:r>
          </w:p>
        </w:tc>
        <w:tc>
          <w:tcPr>
            <w:tcW w:w="480" w:type="dxa"/>
            <w:vAlign w:val="bottom"/>
          </w:tcPr>
          <w:p>
            <w:pPr>
              <w:spacing w:after="0"/>
              <w:rPr>
                <w:sz w:val="14"/>
                <w:szCs w:val="14"/>
                <w:color w:val="auto"/>
              </w:rPr>
            </w:pPr>
          </w:p>
        </w:tc>
        <w:tc>
          <w:tcPr>
            <w:tcW w:w="680" w:type="dxa"/>
            <w:vAlign w:val="bottom"/>
          </w:tcPr>
          <w:p>
            <w:pPr>
              <w:jc w:val="right"/>
              <w:ind w:right="14"/>
              <w:spacing w:after="0" w:line="157" w:lineRule="exact"/>
              <w:rPr>
                <w:sz w:val="20"/>
                <w:szCs w:val="20"/>
                <w:color w:val="auto"/>
              </w:rPr>
            </w:pPr>
            <w:r>
              <w:rPr>
                <w:rFonts w:ascii="Calibri" w:cs="Calibri" w:eastAsia="Calibri" w:hAnsi="Calibri"/>
                <w:sz w:val="13"/>
                <w:szCs w:val="13"/>
                <w:color w:val="auto"/>
              </w:rPr>
              <w:t>8.0</w:t>
            </w:r>
          </w:p>
        </w:tc>
        <w:tc>
          <w:tcPr>
            <w:tcW w:w="460" w:type="dxa"/>
            <w:vAlign w:val="bottom"/>
          </w:tcPr>
          <w:p>
            <w:pPr>
              <w:spacing w:after="0"/>
              <w:rPr>
                <w:sz w:val="14"/>
                <w:szCs w:val="14"/>
                <w:color w:val="auto"/>
              </w:rPr>
            </w:pPr>
          </w:p>
        </w:tc>
        <w:tc>
          <w:tcPr>
            <w:tcW w:w="720" w:type="dxa"/>
            <w:vAlign w:val="bottom"/>
          </w:tcPr>
          <w:p>
            <w:pPr>
              <w:jc w:val="right"/>
              <w:ind w:right="34"/>
              <w:spacing w:after="0" w:line="157" w:lineRule="exact"/>
              <w:rPr>
                <w:sz w:val="20"/>
                <w:szCs w:val="20"/>
                <w:color w:val="auto"/>
              </w:rPr>
            </w:pPr>
            <w:r>
              <w:rPr>
                <w:rFonts w:ascii="Calibri" w:cs="Calibri" w:eastAsia="Calibri" w:hAnsi="Calibri"/>
                <w:sz w:val="13"/>
                <w:szCs w:val="13"/>
                <w:color w:val="auto"/>
              </w:rPr>
              <w:t>11.2</w:t>
            </w:r>
          </w:p>
        </w:tc>
        <w:tc>
          <w:tcPr>
            <w:tcW w:w="440" w:type="dxa"/>
            <w:vAlign w:val="bottom"/>
          </w:tcPr>
          <w:p>
            <w:pPr>
              <w:spacing w:after="0"/>
              <w:rPr>
                <w:sz w:val="14"/>
                <w:szCs w:val="14"/>
                <w:color w:val="auto"/>
              </w:rPr>
            </w:pPr>
          </w:p>
        </w:tc>
        <w:tc>
          <w:tcPr>
            <w:tcW w:w="700" w:type="dxa"/>
            <w:vAlign w:val="bottom"/>
          </w:tcPr>
          <w:p>
            <w:pPr>
              <w:jc w:val="right"/>
              <w:spacing w:after="0" w:line="157" w:lineRule="exact"/>
              <w:rPr>
                <w:sz w:val="20"/>
                <w:szCs w:val="20"/>
                <w:color w:val="auto"/>
              </w:rPr>
            </w:pPr>
            <w:r>
              <w:rPr>
                <w:rFonts w:ascii="Calibri" w:cs="Calibri" w:eastAsia="Calibri" w:hAnsi="Calibri"/>
                <w:sz w:val="13"/>
                <w:szCs w:val="13"/>
                <w:color w:val="auto"/>
              </w:rPr>
              <w:t>20.8</w:t>
            </w:r>
          </w:p>
        </w:tc>
      </w:tr>
      <w:tr>
        <w:trPr>
          <w:trHeight w:val="178"/>
        </w:trPr>
        <w:tc>
          <w:tcPr>
            <w:tcW w:w="2300" w:type="dxa"/>
            <w:vAlign w:val="bottom"/>
            <w:shd w:val="clear" w:color="auto" w:fill="CCEEFF"/>
          </w:tcPr>
          <w:p>
            <w:pPr>
              <w:ind w:left="220"/>
              <w:spacing w:after="0"/>
              <w:rPr>
                <w:sz w:val="20"/>
                <w:szCs w:val="20"/>
                <w:color w:val="auto"/>
              </w:rPr>
            </w:pPr>
            <w:r>
              <w:rPr>
                <w:rFonts w:ascii="Calibri" w:cs="Calibri" w:eastAsia="Calibri" w:hAnsi="Calibri"/>
                <w:sz w:val="13"/>
                <w:szCs w:val="13"/>
                <w:color w:val="auto"/>
              </w:rPr>
              <w:t>Milk Makeup</w:t>
            </w:r>
          </w:p>
        </w:tc>
        <w:tc>
          <w:tcPr>
            <w:tcW w:w="13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8.9</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3.8</w:t>
            </w: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12.7</w:t>
            </w: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4.3</w:t>
            </w: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4"/>
              <w:spacing w:after="0"/>
              <w:rPr>
                <w:sz w:val="20"/>
                <w:szCs w:val="20"/>
                <w:color w:val="auto"/>
              </w:rPr>
            </w:pPr>
            <w:r>
              <w:rPr>
                <w:rFonts w:ascii="Calibri" w:cs="Calibri" w:eastAsia="Calibri" w:hAnsi="Calibri"/>
                <w:sz w:val="13"/>
                <w:szCs w:val="13"/>
                <w:color w:val="auto"/>
              </w:rPr>
              <w:t>1.4</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4"/>
              <w:spacing w:after="0"/>
              <w:rPr>
                <w:sz w:val="20"/>
                <w:szCs w:val="20"/>
                <w:color w:val="auto"/>
              </w:rPr>
            </w:pPr>
            <w:r>
              <w:rPr>
                <w:rFonts w:ascii="Calibri" w:cs="Calibri" w:eastAsia="Calibri" w:hAnsi="Calibri"/>
                <w:sz w:val="13"/>
                <w:szCs w:val="13"/>
                <w:color w:val="auto"/>
              </w:rPr>
              <w:t>5.7</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3"/>
                <w:szCs w:val="13"/>
                <w:color w:val="auto"/>
              </w:rPr>
              <w:t>18.4</w:t>
            </w:r>
          </w:p>
        </w:tc>
      </w:tr>
      <w:tr>
        <w:trPr>
          <w:trHeight w:val="157"/>
        </w:trPr>
        <w:tc>
          <w:tcPr>
            <w:tcW w:w="2300" w:type="dxa"/>
            <w:vAlign w:val="bottom"/>
          </w:tcPr>
          <w:p>
            <w:pPr>
              <w:ind w:left="220"/>
              <w:spacing w:after="0" w:line="157" w:lineRule="exact"/>
              <w:rPr>
                <w:sz w:val="20"/>
                <w:szCs w:val="20"/>
                <w:color w:val="auto"/>
              </w:rPr>
            </w:pPr>
            <w:r>
              <w:rPr>
                <w:rFonts w:ascii="Calibri" w:cs="Calibri" w:eastAsia="Calibri" w:hAnsi="Calibri"/>
                <w:sz w:val="13"/>
                <w:szCs w:val="13"/>
                <w:color w:val="auto"/>
              </w:rPr>
              <w:t>Central</w:t>
            </w:r>
          </w:p>
        </w:tc>
        <w:tc>
          <w:tcPr>
            <w:tcW w:w="13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Calibri" w:cs="Calibri" w:eastAsia="Calibri" w:hAnsi="Calibri"/>
                <w:sz w:val="13"/>
                <w:szCs w:val="13"/>
                <w:color w:val="auto"/>
              </w:rPr>
              <w:t>(4.3)</w:t>
            </w:r>
          </w:p>
        </w:tc>
        <w:tc>
          <w:tcPr>
            <w:tcW w:w="4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Calibri" w:cs="Calibri" w:eastAsia="Calibri" w:hAnsi="Calibri"/>
                <w:sz w:val="13"/>
                <w:szCs w:val="13"/>
                <w:color w:val="auto"/>
              </w:rPr>
              <w:t>(4.2)</w:t>
            </w:r>
          </w:p>
        </w:tc>
        <w:tc>
          <w:tcPr>
            <w:tcW w:w="44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auto"/>
              </w:rPr>
              <w:t>(8.5)</w:t>
            </w:r>
          </w:p>
        </w:tc>
        <w:tc>
          <w:tcPr>
            <w:tcW w:w="4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Calibri" w:cs="Calibri" w:eastAsia="Calibri" w:hAnsi="Calibri"/>
                <w:sz w:val="13"/>
                <w:szCs w:val="13"/>
                <w:color w:val="auto"/>
              </w:rPr>
              <w:t>(2.7)</w:t>
            </w:r>
          </w:p>
        </w:tc>
        <w:tc>
          <w:tcPr>
            <w:tcW w:w="48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Calibri" w:cs="Calibri" w:eastAsia="Calibri" w:hAnsi="Calibri"/>
                <w:sz w:val="13"/>
                <w:szCs w:val="13"/>
                <w:color w:val="auto"/>
              </w:rPr>
              <w:t>(3.7)</w:t>
            </w:r>
          </w:p>
        </w:tc>
        <w:tc>
          <w:tcPr>
            <w:tcW w:w="46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Calibri" w:cs="Calibri" w:eastAsia="Calibri" w:hAnsi="Calibri"/>
                <w:sz w:val="13"/>
                <w:szCs w:val="13"/>
                <w:color w:val="auto"/>
              </w:rPr>
              <w:t>(6.4)</w:t>
            </w:r>
          </w:p>
        </w:tc>
        <w:tc>
          <w:tcPr>
            <w:tcW w:w="44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Calibri" w:cs="Calibri" w:eastAsia="Calibri" w:hAnsi="Calibri"/>
                <w:sz w:val="13"/>
                <w:szCs w:val="13"/>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Calibri" w:cs="Calibri" w:eastAsia="Calibri" w:hAnsi="Calibri"/>
          <w:sz w:val="13"/>
          <w:szCs w:val="13"/>
          <w:color w:val="auto"/>
        </w:rPr>
        <w:t>12</w:t>
      </w:r>
    </w:p>
    <w:p>
      <w:pPr>
        <w:sectPr>
          <w:pgSz w:w="11900" w:h="16838" w:orient="portrait"/>
          <w:cols w:equalWidth="0" w:num="1">
            <w:col w:w="11300"/>
          </w:cols>
          <w:pgMar w:left="300" w:top="678" w:right="29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1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21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3759835</wp:posOffset>
            </wp:positionV>
            <wp:extent cx="713041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877"/>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2024-05-21T05:52:30Z</dcterms:created>
  <dcterms:modified xsi:type="dcterms:W3CDTF">2024-05-21T05:52:30Z</dcterms:modified>
</cp:coreProperties>
</file>