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134620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2024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001-40207</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Waldencast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 Fulham Road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SW3 6RD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3760" w:hanging="200"/>
        <w:spacing w:after="0" w:line="207" w:lineRule="exact"/>
        <w:tabs>
          <w:tab w:leader="none" w:pos="3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3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5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ectPr>
          <w:pgSz w:w="11900" w:h="16838" w:orient="portrait"/>
          <w:cols w:equalWidth="0" w:num="1">
            <w:col w:w="9140"/>
          </w:cols>
          <w:pgMar w:left="1380" w:top="1440"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Waldencast plc Announces Q3 2024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20, 2024, Waldencast plc provided business and financial updates by way of a press release for the three and nine months ended September 30, 2024. A copy of the press release is attached hereto as Exhibit 99.1.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6"/>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NO.</w:t>
            </w:r>
          </w:p>
        </w:tc>
        <w:tc>
          <w:tcPr>
            <w:tcW w:w="8840" w:type="dxa"/>
            <w:vAlign w:val="bottom"/>
            <w:gridSpan w:val="2"/>
          </w:tcPr>
          <w:p>
            <w:pPr>
              <w:ind w:left="38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2280" w:type="dxa"/>
            <w:vAlign w:val="bottom"/>
            <w:tcBorders>
              <w:top w:val="single" w:sz="8" w:color="auto"/>
            </w:tcBorders>
            <w:shd w:val="clear" w:color="auto" w:fill="CCEEFF"/>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right w:val="single" w:sz="8" w:color="CFF0FC"/>
            </w:tcBorders>
            <w:shd w:val="clear" w:color="auto" w:fill="CCEEFF"/>
          </w:tcPr>
          <w:p>
            <w:pPr>
              <w:spacing w:after="0"/>
              <w:rPr>
                <w:sz w:val="17"/>
                <w:szCs w:val="17"/>
                <w:color w:val="auto"/>
              </w:rPr>
            </w:pPr>
          </w:p>
        </w:tc>
        <w:tc>
          <w:tcPr>
            <w:tcW w:w="8840" w:type="dxa"/>
            <w:vAlign w:val="bottom"/>
            <w:tcBorders>
              <w:top w:val="single" w:sz="8" w:color="auto"/>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EE"/>
              </w:rPr>
              <w:t>Waldencast plc press release, dated November 20, 2024</w:t>
            </w:r>
          </w:p>
        </w:tc>
      </w:tr>
      <w:tr>
        <w:trPr>
          <w:trHeight w:val="34"/>
        </w:trPr>
        <w:tc>
          <w:tcPr>
            <w:tcW w:w="2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FF0FC"/>
            </w:tcBorders>
            <w:shd w:val="clear" w:color="auto" w:fill="CCEEFF"/>
          </w:tcPr>
          <w:p>
            <w:pPr>
              <w:spacing w:after="0"/>
              <w:rPr>
                <w:sz w:val="2"/>
                <w:szCs w:val="2"/>
                <w:color w:val="auto"/>
              </w:rPr>
            </w:pPr>
          </w:p>
        </w:tc>
        <w:tc>
          <w:tcPr>
            <w:tcW w:w="4000" w:type="dxa"/>
            <w:vAlign w:val="bottom"/>
            <w:tcBorders>
              <w:top w:val="single" w:sz="8" w:color="0000EE"/>
            </w:tcBorders>
            <w:shd w:val="clear" w:color="auto" w:fill="CFF0FC"/>
          </w:tcPr>
          <w:p>
            <w:pPr>
              <w:spacing w:after="0"/>
              <w:rPr>
                <w:sz w:val="2"/>
                <w:szCs w:val="2"/>
                <w:color w:val="auto"/>
              </w:rPr>
            </w:pPr>
          </w:p>
        </w:tc>
        <w:tc>
          <w:tcPr>
            <w:tcW w:w="4840" w:type="dxa"/>
            <w:vAlign w:val="bottom"/>
            <w:tcBorders>
              <w:top w:val="single" w:sz="8" w:color="CFF0FC"/>
            </w:tcBorders>
            <w:shd w:val="clear" w:color="auto" w:fill="CFF0F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 w:name="page3"/>
    <w:bookmarkEnd w:id="2"/>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Waldencast plc has duly caused this report to be signed on its behalf by the undersigned, thereunto duly authorized.</w:t>
      </w:r>
    </w:p>
    <w:p>
      <w:pPr>
        <w:spacing w:after="0" w:line="2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Waldencast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409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2024</w:t>
            </w:r>
          </w:p>
        </w:tc>
        <w:tc>
          <w:tcPr>
            <w:tcW w:w="3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Manuel Manfredi</w:t>
            </w:r>
          </w:p>
        </w:tc>
        <w:tc>
          <w:tcPr>
            <w:tcW w:w="43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8"/>
        </w:trPr>
        <w:tc>
          <w:tcPr>
            <w:tcW w:w="3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Manuel Manfredi</w:t>
            </w:r>
          </w:p>
        </w:tc>
      </w:tr>
      <w:tr>
        <w:trPr>
          <w:trHeight w:val="220"/>
        </w:trPr>
        <w:tc>
          <w:tcPr>
            <w:tcW w:w="3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  and  Principal  Financial</w:t>
            </w:r>
          </w:p>
        </w:tc>
      </w:tr>
      <w:tr>
        <w:trPr>
          <w:trHeight w:val="234"/>
        </w:trPr>
        <w:tc>
          <w:tcPr>
            <w:tcW w:w="3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122555</wp:posOffset>
            </wp:positionV>
            <wp:extent cx="33515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181818"/>
        </w:rPr>
        <w:t>Waldencast Reports Q3 2024 Financial Results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$70.2 million </w:t>
      </w:r>
      <w:r>
        <w:rPr>
          <w:rFonts w:ascii="Times New Roman" w:cs="Times New Roman" w:eastAsia="Times New Roman" w:hAnsi="Times New Roman"/>
          <w:sz w:val="22"/>
          <w:szCs w:val="22"/>
          <w:color w:val="181818"/>
        </w:rPr>
        <w:t>of Net Revenue</w:t>
      </w:r>
      <w:r>
        <w:rPr>
          <w:rFonts w:ascii="Times New Roman" w:cs="Times New Roman" w:eastAsia="Times New Roman" w:hAnsi="Times New Roman"/>
          <w:sz w:val="22"/>
          <w:szCs w:val="22"/>
          <w:color w:val="auto"/>
        </w:rPr>
        <w:t xml:space="preserve"> Q3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181818"/>
        </w:rPr>
        <w:t>+</w:t>
      </w:r>
      <w:r>
        <w:rPr>
          <w:rFonts w:ascii="Times New Roman" w:cs="Times New Roman" w:eastAsia="Times New Roman" w:hAnsi="Times New Roman"/>
          <w:sz w:val="22"/>
          <w:szCs w:val="22"/>
          <w:color w:val="000000"/>
        </w:rPr>
        <w:t>34.6%</w:t>
      </w:r>
      <w:r>
        <w:rPr>
          <w:rFonts w:ascii="Times New Roman" w:cs="Times New Roman" w:eastAsia="Times New Roman" w:hAnsi="Times New Roman"/>
          <w:sz w:val="22"/>
          <w:szCs w:val="22"/>
          <w:color w:val="181818"/>
        </w:rPr>
        <w:t xml:space="preserve"> Comparable Net Revenue Growth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181818"/>
        </w:rPr>
        <w:t>Both brands accelerating from Q2 2024</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181818"/>
        </w:rPr>
        <w:t>+</w:t>
      </w:r>
      <w:r>
        <w:rPr>
          <w:rFonts w:ascii="Times New Roman" w:cs="Times New Roman" w:eastAsia="Times New Roman" w:hAnsi="Times New Roman"/>
          <w:sz w:val="22"/>
          <w:szCs w:val="22"/>
          <w:color w:val="000000"/>
        </w:rPr>
        <w:t>45.5%</w:t>
      </w:r>
      <w:r>
        <w:rPr>
          <w:rFonts w:ascii="Times New Roman" w:cs="Times New Roman" w:eastAsia="Times New Roman" w:hAnsi="Times New Roman"/>
          <w:sz w:val="22"/>
          <w:szCs w:val="22"/>
          <w:color w:val="181818"/>
        </w:rPr>
        <w:t xml:space="preserve"> Obagi Medical and +</w:t>
      </w:r>
      <w:r>
        <w:rPr>
          <w:rFonts w:ascii="Times New Roman" w:cs="Times New Roman" w:eastAsia="Times New Roman" w:hAnsi="Times New Roman"/>
          <w:sz w:val="22"/>
          <w:szCs w:val="22"/>
          <w:color w:val="000000"/>
        </w:rPr>
        <w:t>23.5%</w:t>
      </w:r>
      <w:r>
        <w:rPr>
          <w:rFonts w:ascii="Times New Roman" w:cs="Times New Roman" w:eastAsia="Times New Roman" w:hAnsi="Times New Roman"/>
          <w:sz w:val="22"/>
          <w:szCs w:val="22"/>
          <w:color w:val="181818"/>
        </w:rPr>
        <w:t xml:space="preserve"> Milk Makeup vs Q3 2023</w:t>
      </w:r>
    </w:p>
    <w:p>
      <w:pPr>
        <w:spacing w:after="0" w:line="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181818"/>
        </w:rPr>
        <w:t xml:space="preserve">Adjusted EBITDA of </w:t>
      </w:r>
      <w:r>
        <w:rPr>
          <w:rFonts w:ascii="Times New Roman" w:cs="Times New Roman" w:eastAsia="Times New Roman" w:hAnsi="Times New Roman"/>
          <w:sz w:val="22"/>
          <w:szCs w:val="22"/>
          <w:color w:val="000000"/>
        </w:rPr>
        <w:t>$11.4</w:t>
      </w:r>
      <w:r>
        <w:rPr>
          <w:rFonts w:ascii="Times New Roman" w:cs="Times New Roman" w:eastAsia="Times New Roman" w:hAnsi="Times New Roman"/>
          <w:sz w:val="22"/>
          <w:szCs w:val="22"/>
          <w:color w:val="181818"/>
        </w:rPr>
        <w:t xml:space="preserve"> million, up +</w:t>
      </w:r>
      <w:r>
        <w:rPr>
          <w:rFonts w:ascii="Times New Roman" w:cs="Times New Roman" w:eastAsia="Times New Roman" w:hAnsi="Times New Roman"/>
          <w:sz w:val="22"/>
          <w:szCs w:val="22"/>
          <w:color w:val="000000"/>
        </w:rPr>
        <w:t>134.0%</w:t>
      </w:r>
      <w:r>
        <w:rPr>
          <w:rFonts w:ascii="Times New Roman" w:cs="Times New Roman" w:eastAsia="Times New Roman" w:hAnsi="Times New Roman"/>
          <w:sz w:val="22"/>
          <w:szCs w:val="22"/>
          <w:color w:val="181818"/>
        </w:rPr>
        <w:t xml:space="preserve"> vs Q3 2023</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181818"/>
        </w:rPr>
        <w:t xml:space="preserve">November 20, 2024, London, United Kingdom – </w:t>
      </w:r>
      <w:r>
        <w:rPr>
          <w:rFonts w:ascii="Times New Roman" w:cs="Times New Roman" w:eastAsia="Times New Roman" w:hAnsi="Times New Roman"/>
          <w:sz w:val="20"/>
          <w:szCs w:val="20"/>
          <w:color w:val="181818"/>
        </w:rPr>
        <w:t>Waldencast plc (NASDAQ: WALD) (“Waldencast” or the “Company”),</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000000"/>
        </w:rPr>
        <w:t xml:space="preserve">a global multi-brand beauty and wellness platform, today reported operating results </w:t>
      </w:r>
      <w:r>
        <w:rPr>
          <w:rFonts w:ascii="Times New Roman" w:cs="Times New Roman" w:eastAsia="Times New Roman" w:hAnsi="Times New Roman"/>
          <w:sz w:val="20"/>
          <w:szCs w:val="20"/>
          <w:color w:val="181818"/>
        </w:rPr>
        <w:t>for the three months ended September 30, 2024 (“</w:t>
      </w:r>
      <w:r>
        <w:rPr>
          <w:rFonts w:ascii="Times New Roman" w:cs="Times New Roman" w:eastAsia="Times New Roman" w:hAnsi="Times New Roman"/>
          <w:sz w:val="20"/>
          <w:szCs w:val="20"/>
          <w:color w:val="000000"/>
        </w:rPr>
        <w:t>Q3 2024</w:t>
      </w:r>
      <w:r>
        <w:rPr>
          <w:rFonts w:ascii="Times New Roman" w:cs="Times New Roman" w:eastAsia="Times New Roman" w:hAnsi="Times New Roman"/>
          <w:sz w:val="20"/>
          <w:szCs w:val="20"/>
          <w:color w:val="181818"/>
        </w:rPr>
        <w:t>”) and</w:t>
      </w:r>
      <w:r>
        <w:rPr>
          <w:rFonts w:ascii="Times New Roman" w:cs="Times New Roman" w:eastAsia="Times New Roman" w:hAnsi="Times New Roman"/>
          <w:sz w:val="20"/>
          <w:szCs w:val="20"/>
          <w:color w:val="000000"/>
        </w:rPr>
        <w:t xml:space="preserve"> nine months ended September 30, 2024 ("Nine Months 2024") on Form 6-K to the U.S. Securities and Exchange Commission, which are also available on the Company's investor relations site at http://ir.waldencast.com/.</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Michel Brousset, Waldencast Founder and CEO, said: “We are pleased to report another quarter of strong results, with Comparable Net Revenue Growth of 34.6% and continued gross margin and Adjusted EBITDA expansion. This reflects the strength of both our Obagi Medical and Milk Makeup brands, driven by increased consumer demand, the introduction of strong innovation in both brands, and improved stock availability. In Q3 2024, our Adjusted EBITDA Margin rose to 16.3%, a 720-basis point improvement over last year. We are confident in our ability to deliver on our guidance of full year Comparable Net Revenue Growth above the 25.7% growth achieved in the second quarter while delivering Adjusted EBITDA Margin in the mid-teens as we continue to leverage the power of our Waldencast platform to drive growth and enhance profitability of our market leading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12529"/>
        </w:rPr>
        <w:t>Q3 2024 Results Overview &amp; FY 2024 Outlook</w:t>
      </w:r>
    </w:p>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181818"/>
        </w:rPr>
        <w:t>Please refer to the definitions and reconciliations set out further in this release with respect to certain adjusted non-GAAP measures discussed below which are included to provide an easier understanding of the underlying performance of the business, but should not be seen as a substitute for the U.S. GAAP numbers presented in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For the three months ended September 30, 2024 compared to the three months ended September 30, 2023:</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212529"/>
        </w:rPr>
        <w:t xml:space="preserve">Net Revenue </w:t>
      </w:r>
      <w:r>
        <w:rPr>
          <w:rFonts w:ascii="Times New Roman" w:cs="Times New Roman" w:eastAsia="Times New Roman" w:hAnsi="Times New Roman"/>
          <w:sz w:val="20"/>
          <w:szCs w:val="20"/>
          <w:color w:val="212529"/>
        </w:rPr>
        <w:t>for Q3 2024 was $70.2 million, a +30.8% increase on a net revenue basis and a +</w:t>
      </w:r>
      <w:r>
        <w:rPr>
          <w:rFonts w:ascii="Times New Roman" w:cs="Times New Roman" w:eastAsia="Times New Roman" w:hAnsi="Times New Roman"/>
          <w:sz w:val="20"/>
          <w:szCs w:val="20"/>
          <w:color w:val="000000"/>
        </w:rPr>
        <w:t>34.6% increase in Comparable Net Revenue</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Growth. This s</w:t>
      </w:r>
      <w:r>
        <w:rPr>
          <w:rFonts w:ascii="Times New Roman" w:cs="Times New Roman" w:eastAsia="Times New Roman" w:hAnsi="Times New Roman"/>
          <w:sz w:val="20"/>
          <w:szCs w:val="20"/>
          <w:color w:val="212529"/>
        </w:rPr>
        <w:t>trong performance reflects the impact of our strategic focus on strengthening the brand equity of both Milk Makeup and Obagi</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529"/>
        </w:rPr>
        <w:t>Medical, accelerating the pace of innovation, and expanding the reach of both brands domestically and internationally.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212529"/>
        </w:rPr>
        <w:t xml:space="preserve">Gross Profit </w:t>
      </w:r>
      <w:r>
        <w:rPr>
          <w:rFonts w:ascii="Times New Roman" w:cs="Times New Roman" w:eastAsia="Times New Roman" w:hAnsi="Times New Roman"/>
          <w:sz w:val="20"/>
          <w:szCs w:val="20"/>
          <w:color w:val="212529"/>
        </w:rPr>
        <w:t>was $48.1 million, compared to Gross Profit of $35.9 million in Q3 2023. Adjusted Gross Profit was $51.4 million, or 73.2% of</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net revenue, a 400-basis point increase. This increase was driven by growth in higher-margin digital channels, lower inventory adjustments, and product mix.</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212529"/>
        </w:rPr>
        <w:t xml:space="preserve">Net Loss </w:t>
      </w:r>
      <w:r>
        <w:rPr>
          <w:rFonts w:ascii="Times New Roman" w:cs="Times New Roman" w:eastAsia="Times New Roman" w:hAnsi="Times New Roman"/>
          <w:sz w:val="20"/>
          <w:szCs w:val="20"/>
          <w:color w:val="212529"/>
        </w:rPr>
        <w:t>improved from $36.5 million in Q3 2023 to $13.1 million in Q3 2024, driven by improvements in Adjusted Gross Margin, and fair</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value adjustment for warrants.</w:t>
      </w:r>
    </w:p>
    <w:p>
      <w:pPr>
        <w:sectPr>
          <w:pgSz w:w="11900" w:h="16838" w:orient="portrait"/>
          <w:cols w:equalWidth="0" w:num="1">
            <w:col w:w="11240"/>
          </w:cols>
          <w:pgMar w:left="320" w:top="941" w:right="339" w:bottom="1440" w:gutter="0" w:footer="0" w:header="0"/>
        </w:sectPr>
      </w:pPr>
    </w:p>
    <w:bookmarkStart w:id="4" w:name="page5"/>
    <w:bookmarkEnd w:id="4"/>
    <w:p>
      <w:pPr>
        <w:jc w:val="both"/>
        <w:spacing w:after="0" w:line="263" w:lineRule="auto"/>
        <w:rPr>
          <w:sz w:val="20"/>
          <w:szCs w:val="20"/>
          <w:color w:val="auto"/>
        </w:rPr>
      </w:pPr>
      <w:r>
        <w:rPr>
          <w:rFonts w:ascii="Times New Roman" w:cs="Times New Roman" w:eastAsia="Times New Roman" w:hAnsi="Times New Roman"/>
          <w:sz w:val="20"/>
          <w:szCs w:val="20"/>
          <w:b w:val="1"/>
          <w:bCs w:val="1"/>
          <w:color w:val="212529"/>
        </w:rPr>
        <w:t xml:space="preserve">Adjusted EBITDA </w:t>
      </w:r>
      <w:r>
        <w:rPr>
          <w:rFonts w:ascii="Times New Roman" w:cs="Times New Roman" w:eastAsia="Times New Roman" w:hAnsi="Times New Roman"/>
          <w:sz w:val="20"/>
          <w:szCs w:val="20"/>
          <w:color w:val="212529"/>
        </w:rPr>
        <w:t>for Q3 2023 was $11.4 million, compared with $4.9 million in Q3 2024, an increase of</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134.0%. Adjusted EBITDA</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 xml:space="preserve">Margin was 16.3% </w:t>
      </w:r>
      <w:r>
        <w:rPr>
          <w:rFonts w:ascii="Times New Roman" w:cs="Times New Roman" w:eastAsia="Times New Roman" w:hAnsi="Times New Roman"/>
          <w:sz w:val="20"/>
          <w:szCs w:val="20"/>
          <w:color w:val="212529"/>
        </w:rPr>
        <w:t>of net revenue, a 720-basis point expansion reflecting sales growth and strong operational leverage that has more than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529"/>
        </w:rPr>
        <w:t>offset increased investment in marketing, and the international structure we put in place to support growth.</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212529"/>
        </w:rPr>
        <w:t xml:space="preserve">Liquidity: </w:t>
      </w:r>
      <w:r>
        <w:rPr>
          <w:rFonts w:ascii="Times New Roman" w:cs="Times New Roman" w:eastAsia="Times New Roman" w:hAnsi="Times New Roman"/>
          <w:sz w:val="20"/>
          <w:szCs w:val="20"/>
          <w:color w:val="212529"/>
        </w:rPr>
        <w:t>The business maintained strong cash conversion during Q3 2024 supported by effective working capital management and limited</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capital expenditure thanks to our asset light business model. However, the Company continues to incur significant non-recurring costs associated with legal and advisory fees. As of September 30, 2024, the Group had $17.6 million in cash and cash equivalents and $154.0 million of Net Debt. In addition, $30 million remains undrawn on the Company's $45 million revolving credit facility as of September 30, 2024.</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212529"/>
        </w:rPr>
        <w:t>Outstanding Shares</w:t>
      </w:r>
      <w:r>
        <w:rPr>
          <w:rFonts w:ascii="Times New Roman" w:cs="Times New Roman" w:eastAsia="Times New Roman" w:hAnsi="Times New Roman"/>
          <w:sz w:val="20"/>
          <w:szCs w:val="20"/>
          <w:color w:val="212529"/>
        </w:rPr>
        <w:t>: As of November 15, 2024, the Company had 122,850,904 ordinary shares outstanding, consisting of 112,084,376</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Class A ordinary shares outstanding and 10,766,528 Class B ordinary shares outstanding. As of December 31, 2023, the Company had 122,076,410 ordinary shares outstanding, consisting of 101,228,857 Class A ordinary shares outstanding, and 20,847,553 Class B ordinary shares outstanding. Fully Diluted Shares decreased from 129,695,296 at December 31, 2023 to 128,328,987 as of November 15, 2024, primarily driven by forfeitures of unvested shares and lower in-the-money dilutive instruments. All contractual lock-ups with shareholders have now expired.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212529"/>
        </w:rPr>
        <w:t xml:space="preserve">Fiscal 2024 Outlook: </w:t>
      </w:r>
      <w:r>
        <w:rPr>
          <w:rFonts w:ascii="Times New Roman" w:cs="Times New Roman" w:eastAsia="Times New Roman" w:hAnsi="Times New Roman"/>
          <w:sz w:val="20"/>
          <w:szCs w:val="20"/>
          <w:color w:val="212529"/>
        </w:rPr>
        <w:t>We expect to deliver on our guidance of full year Comparable Net Revenue Growth above the 25.7% growth achieved</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in the second quarter while delivering Adjusted EBITDA Margin in the mid-teens.</w:t>
      </w: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Growth</w:t>
            </w:r>
          </w:p>
        </w:tc>
        <w:tc>
          <w:tcPr>
            <w:tcW w:w="13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 Comp</w:t>
            </w:r>
          </w:p>
        </w:tc>
        <w:tc>
          <w:tcPr>
            <w:tcW w:w="60" w:type="dxa"/>
            <w:vAlign w:val="bottom"/>
          </w:tcPr>
          <w:p>
            <w:pPr>
              <w:spacing w:after="0"/>
              <w:rPr>
                <w:sz w:val="16"/>
                <w:szCs w:val="16"/>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212529"/>
              </w:rPr>
              <w:t>(In millions, except for percentages)</w:t>
            </w:r>
          </w:p>
        </w:tc>
        <w:tc>
          <w:tcPr>
            <w:tcW w:w="130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Waldencast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34.6%</w:t>
            </w: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69.2%</w:t>
            </w:r>
          </w:p>
        </w:tc>
        <w:tc>
          <w:tcPr>
            <w:tcW w:w="0" w:type="dxa"/>
            <w:vAlign w:val="bottom"/>
          </w:tcPr>
          <w:p>
            <w:pPr>
              <w:spacing w:after="0"/>
              <w:rPr>
                <w:sz w:val="1"/>
                <w:szCs w:val="1"/>
                <w:color w:val="auto"/>
              </w:rPr>
            </w:pPr>
          </w:p>
        </w:tc>
      </w:tr>
      <w:tr>
        <w:trPr>
          <w:trHeight w:val="230"/>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120" w:type="dxa"/>
            <w:vAlign w:val="bottom"/>
            <w:tcBorders>
              <w:right w:val="single" w:sz="8" w:color="auto"/>
            </w:tcBorders>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68.5%</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0" w:type="dxa"/>
            <w:vAlign w:val="bottom"/>
          </w:tcPr>
          <w:p>
            <w:pPr>
              <w:spacing w:after="0"/>
              <w:rPr>
                <w:sz w:val="1"/>
                <w:szCs w:val="1"/>
                <w:color w:val="auto"/>
              </w:rPr>
            </w:pPr>
          </w:p>
        </w:tc>
      </w:tr>
      <w:tr>
        <w:trPr>
          <w:trHeight w:val="230"/>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3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181818"/>
        </w:rPr>
        <w:t>Obagi Medical:</w:t>
      </w:r>
    </w:p>
    <w:p>
      <w:pPr>
        <w:spacing w:after="0" w:line="67" w:lineRule="exact"/>
        <w:rPr>
          <w:sz w:val="20"/>
          <w:szCs w:val="20"/>
          <w:color w:val="auto"/>
        </w:rPr>
      </w:pPr>
    </w:p>
    <w:p>
      <w:pPr>
        <w:ind w:left="660" w:hanging="328"/>
        <w:spacing w:after="0" w:line="269" w:lineRule="auto"/>
        <w:tabs>
          <w:tab w:leader="none" w:pos="648" w:val="left"/>
        </w:tabs>
        <w:numPr>
          <w:ilvl w:val="0"/>
          <w:numId w:val="2"/>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Net Revenue reached $38.7 million vs $28.2 million in Q3 2023 with Comparable Net Revenue Growth of 45.5%, and Adjusted EBITDA of $7.5 million, a 129.7% increase from Q3 2023.</w:t>
      </w:r>
    </w:p>
    <w:p>
      <w:pPr>
        <w:spacing w:after="0" w:line="10" w:lineRule="exact"/>
        <w:rPr>
          <w:rFonts w:ascii="Times New Roman" w:cs="Times New Roman" w:eastAsia="Times New Roman" w:hAnsi="Times New Roman"/>
          <w:sz w:val="20"/>
          <w:szCs w:val="20"/>
          <w:color w:val="181818"/>
        </w:rPr>
      </w:pPr>
    </w:p>
    <w:p>
      <w:pPr>
        <w:jc w:val="both"/>
        <w:ind w:left="660" w:hanging="328"/>
        <w:spacing w:after="0" w:line="256" w:lineRule="auto"/>
        <w:tabs>
          <w:tab w:leader="none" w:pos="648" w:val="left"/>
        </w:tabs>
        <w:numPr>
          <w:ilvl w:val="0"/>
          <w:numId w:val="2"/>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The robust net revenue growth for Obagi Medical was driven by: 1) the continued growth of our brand awareness supported by stronger selling and marketing investments; 2) our continued strong innovation including the launch of the power duo of Elastiderm Lift Up &amp; Sculpt Facial Moisturizer and Advanced Filler Concentrate, which helped lift the rest of our Elastiderm franchise; 3) the growth of the brand’s distribution footprint through our continued international expansion, and the acceleration of our digital channels through the expansion of our direct-to-consumer channel capabilities as well as the business model optimization of our main e-commerce business partner. This business model optimization benefit, which resulted from the internalization of this distribution channel in 2023 will normalize in subsequent quarters.</w:t>
      </w:r>
    </w:p>
    <w:p>
      <w:pPr>
        <w:spacing w:after="0" w:line="24" w:lineRule="exact"/>
        <w:rPr>
          <w:rFonts w:ascii="Times New Roman" w:cs="Times New Roman" w:eastAsia="Times New Roman" w:hAnsi="Times New Roman"/>
          <w:sz w:val="20"/>
          <w:szCs w:val="20"/>
          <w:color w:val="181818"/>
        </w:rPr>
      </w:pPr>
    </w:p>
    <w:p>
      <w:pPr>
        <w:jc w:val="both"/>
        <w:ind w:left="660" w:hanging="328"/>
        <w:spacing w:after="0" w:line="261" w:lineRule="auto"/>
        <w:tabs>
          <w:tab w:leader="none" w:pos="648" w:val="left"/>
        </w:tabs>
        <w:numPr>
          <w:ilvl w:val="0"/>
          <w:numId w:val="2"/>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The U.S. physician dispensed channel returned to growth in Q3 2024 due to better stock levels of key products. Additionally, although we saw improved stock availability in the quarter, out-of-stocks continue to impact select key products in the short-term, with further progress expected in Q4 2024 to support domestic and international expansion.</w:t>
      </w:r>
    </w:p>
    <w:p>
      <w:pPr>
        <w:spacing w:after="0" w:line="19" w:lineRule="exact"/>
        <w:rPr>
          <w:rFonts w:ascii="Times New Roman" w:cs="Times New Roman" w:eastAsia="Times New Roman" w:hAnsi="Times New Roman"/>
          <w:sz w:val="20"/>
          <w:szCs w:val="20"/>
          <w:color w:val="181818"/>
        </w:rPr>
      </w:pPr>
    </w:p>
    <w:p>
      <w:pPr>
        <w:ind w:left="660" w:right="20" w:hanging="328"/>
        <w:spacing w:after="0" w:line="269" w:lineRule="auto"/>
        <w:tabs>
          <w:tab w:leader="none" w:pos="648" w:val="left"/>
        </w:tabs>
        <w:numPr>
          <w:ilvl w:val="0"/>
          <w:numId w:val="2"/>
        </w:numPr>
        <w:rPr>
          <w:rFonts w:ascii="Times New Roman" w:cs="Times New Roman" w:eastAsia="Times New Roman" w:hAnsi="Times New Roman"/>
          <w:sz w:val="20"/>
          <w:szCs w:val="20"/>
          <w:color w:val="212529"/>
        </w:rPr>
      </w:pPr>
      <w:r>
        <w:rPr>
          <w:rFonts w:ascii="Times New Roman" w:cs="Times New Roman" w:eastAsia="Times New Roman" w:hAnsi="Times New Roman"/>
          <w:sz w:val="20"/>
          <w:szCs w:val="20"/>
          <w:color w:val="181818"/>
        </w:rPr>
        <w:t xml:space="preserve">Adjusted Gross Margin increased 1,010-basis points to </w:t>
      </w:r>
      <w:r>
        <w:rPr>
          <w:rFonts w:ascii="Times New Roman" w:cs="Times New Roman" w:eastAsia="Times New Roman" w:hAnsi="Times New Roman"/>
          <w:sz w:val="20"/>
          <w:szCs w:val="20"/>
          <w:color w:val="000000"/>
        </w:rPr>
        <w:t>78.6%</w:t>
      </w:r>
      <w:r>
        <w:rPr>
          <w:rFonts w:ascii="Times New Roman" w:cs="Times New Roman" w:eastAsia="Times New Roman" w:hAnsi="Times New Roman"/>
          <w:sz w:val="20"/>
          <w:szCs w:val="20"/>
          <w:color w:val="181818"/>
        </w:rPr>
        <w:t xml:space="preserve"> compared to Q3 2023, due to a more favorable channel mix and other sourcing and operational efficiency initiatives.</w:t>
      </w:r>
    </w:p>
    <w:p>
      <w:pPr>
        <w:spacing w:after="0" w:line="10" w:lineRule="exact"/>
        <w:rPr>
          <w:rFonts w:ascii="Times New Roman" w:cs="Times New Roman" w:eastAsia="Times New Roman" w:hAnsi="Times New Roman"/>
          <w:sz w:val="20"/>
          <w:szCs w:val="20"/>
          <w:color w:val="212529"/>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 xml:space="preserve">Adjusted EBITDA Margin rose by 770-basis points to </w:t>
      </w:r>
      <w:r>
        <w:rPr>
          <w:rFonts w:ascii="Times New Roman" w:cs="Times New Roman" w:eastAsia="Times New Roman" w:hAnsi="Times New Roman"/>
          <w:sz w:val="20"/>
          <w:szCs w:val="20"/>
          <w:color w:val="000000"/>
        </w:rPr>
        <w:t>19.3%</w:t>
      </w:r>
      <w:r>
        <w:rPr>
          <w:rFonts w:ascii="Times New Roman" w:cs="Times New Roman" w:eastAsia="Times New Roman" w:hAnsi="Times New Roman"/>
          <w:sz w:val="20"/>
          <w:szCs w:val="20"/>
          <w:color w:val="181818"/>
        </w:rPr>
        <w:t xml:space="preserve">, up from </w:t>
      </w:r>
      <w:r>
        <w:rPr>
          <w:rFonts w:ascii="Times New Roman" w:cs="Times New Roman" w:eastAsia="Times New Roman" w:hAnsi="Times New Roman"/>
          <w:sz w:val="20"/>
          <w:szCs w:val="20"/>
          <w:color w:val="000000"/>
        </w:rPr>
        <w:t>11.6%</w:t>
      </w:r>
      <w:r>
        <w:rPr>
          <w:rFonts w:ascii="Times New Roman" w:cs="Times New Roman" w:eastAsia="Times New Roman" w:hAnsi="Times New Roman"/>
          <w:sz w:val="20"/>
          <w:szCs w:val="20"/>
          <w:color w:val="181818"/>
        </w:rPr>
        <w:t xml:space="preserve"> in Q3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81818"/>
        </w:rPr>
        <w:t>Milk Makeup:</w:t>
      </w:r>
    </w:p>
    <w:p>
      <w:pPr>
        <w:spacing w:after="0" w:line="54"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212529"/>
        </w:rPr>
      </w:pPr>
      <w:r>
        <w:rPr>
          <w:rFonts w:ascii="Times New Roman" w:cs="Times New Roman" w:eastAsia="Times New Roman" w:hAnsi="Times New Roman"/>
          <w:sz w:val="20"/>
          <w:szCs w:val="20"/>
          <w:color w:val="181818"/>
        </w:rPr>
        <w:t xml:space="preserve">Net Revenue reached </w:t>
      </w:r>
      <w:r>
        <w:rPr>
          <w:rFonts w:ascii="Times New Roman" w:cs="Times New Roman" w:eastAsia="Times New Roman" w:hAnsi="Times New Roman"/>
          <w:sz w:val="20"/>
          <w:szCs w:val="20"/>
          <w:color w:val="212529"/>
        </w:rPr>
        <w:t>$31.5 million,</w:t>
      </w:r>
      <w:r>
        <w:rPr>
          <w:rFonts w:ascii="Times New Roman" w:cs="Times New Roman" w:eastAsia="Times New Roman" w:hAnsi="Times New Roman"/>
          <w:sz w:val="20"/>
          <w:szCs w:val="20"/>
          <w:color w:val="181818"/>
        </w:rPr>
        <w:t xml:space="preserve"> up </w:t>
      </w:r>
      <w:r>
        <w:rPr>
          <w:rFonts w:ascii="Times New Roman" w:cs="Times New Roman" w:eastAsia="Times New Roman" w:hAnsi="Times New Roman"/>
          <w:sz w:val="20"/>
          <w:szCs w:val="20"/>
          <w:color w:val="000000"/>
        </w:rPr>
        <w:t>23.5%</w:t>
      </w:r>
      <w:r>
        <w:rPr>
          <w:rFonts w:ascii="Times New Roman" w:cs="Times New Roman" w:eastAsia="Times New Roman" w:hAnsi="Times New Roman"/>
          <w:sz w:val="20"/>
          <w:szCs w:val="20"/>
          <w:color w:val="181818"/>
        </w:rPr>
        <w:t xml:space="preserve">, and Adjusted EBITDA of </w:t>
      </w:r>
      <w:r>
        <w:rPr>
          <w:rFonts w:ascii="Times New Roman" w:cs="Times New Roman" w:eastAsia="Times New Roman" w:hAnsi="Times New Roman"/>
          <w:sz w:val="20"/>
          <w:szCs w:val="20"/>
          <w:color w:val="212529"/>
        </w:rPr>
        <w:t>$8.5 million, which doubled from</w:t>
      </w:r>
      <w:r>
        <w:rPr>
          <w:rFonts w:ascii="Times New Roman" w:cs="Times New Roman" w:eastAsia="Times New Roman" w:hAnsi="Times New Roman"/>
          <w:sz w:val="20"/>
          <w:szCs w:val="20"/>
          <w:color w:val="181818"/>
        </w:rPr>
        <w:t xml:space="preserve"> Q3 2023</w:t>
      </w:r>
      <w:r>
        <w:rPr>
          <w:rFonts w:ascii="Times New Roman" w:cs="Times New Roman" w:eastAsia="Times New Roman" w:hAnsi="Times New Roman"/>
          <w:sz w:val="20"/>
          <w:szCs w:val="20"/>
          <w:color w:val="000000"/>
        </w:rPr>
        <w:t>.</w:t>
      </w:r>
    </w:p>
    <w:p>
      <w:pPr>
        <w:spacing w:after="0" w:line="67" w:lineRule="exact"/>
        <w:rPr>
          <w:rFonts w:ascii="Times New Roman" w:cs="Times New Roman" w:eastAsia="Times New Roman" w:hAnsi="Times New Roman"/>
          <w:sz w:val="20"/>
          <w:szCs w:val="20"/>
          <w:color w:val="212529"/>
        </w:rPr>
      </w:pPr>
    </w:p>
    <w:p>
      <w:pPr>
        <w:jc w:val="both"/>
        <w:ind w:left="660" w:hanging="328"/>
        <w:spacing w:after="0" w:line="254" w:lineRule="auto"/>
        <w:tabs>
          <w:tab w:leader="none" w:pos="648" w:val="left"/>
        </w:tabs>
        <w:numPr>
          <w:ilvl w:val="0"/>
          <w:numId w:val="3"/>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Milk Makeup's brand momentum continues through 1) increased brand awareness and strong consumer engagement; 2) continued expansion of the brand distribution footprint with the addition of four new European retailers in 2024; and 3) new launches in the quarter building on the success of the Cooling Water Jelly Tints, with the introduction of two additional Jelly Tint shades and the launch of Hydro Grip + Glow and Kush High Roller brow and mascara, further strengthening our product offering.</w:t>
      </w:r>
    </w:p>
    <w:p>
      <w:pPr>
        <w:spacing w:after="0" w:line="25" w:lineRule="exact"/>
        <w:rPr>
          <w:rFonts w:ascii="Times New Roman" w:cs="Times New Roman" w:eastAsia="Times New Roman" w:hAnsi="Times New Roman"/>
          <w:sz w:val="20"/>
          <w:szCs w:val="20"/>
          <w:color w:val="181818"/>
        </w:rPr>
      </w:pPr>
    </w:p>
    <w:p>
      <w:pPr>
        <w:ind w:left="660" w:hanging="328"/>
        <w:spacing w:after="0" w:line="274" w:lineRule="auto"/>
        <w:tabs>
          <w:tab w:leader="none" w:pos="648" w:val="left"/>
        </w:tabs>
        <w:numPr>
          <w:ilvl w:val="0"/>
          <w:numId w:val="3"/>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Adjusted Gross Margin decreased by 340-basis points versus Q3 2023, primarily due to seasonal product mix shift toward lower margin holiday promotional kits and higher off-price channel sales, as well as an inventory provision release in Q3 2023.</w:t>
      </w:r>
    </w:p>
    <w:p>
      <w:pPr>
        <w:spacing w:after="0" w:line="1" w:lineRule="exact"/>
        <w:rPr>
          <w:rFonts w:ascii="Times New Roman" w:cs="Times New Roman" w:eastAsia="Times New Roman" w:hAnsi="Times New Roman"/>
          <w:sz w:val="20"/>
          <w:szCs w:val="20"/>
          <w:color w:val="181818"/>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212529"/>
        </w:rPr>
      </w:pPr>
      <w:r>
        <w:rPr>
          <w:rFonts w:ascii="Times New Roman" w:cs="Times New Roman" w:eastAsia="Times New Roman" w:hAnsi="Times New Roman"/>
          <w:sz w:val="20"/>
          <w:szCs w:val="20"/>
          <w:color w:val="181818"/>
        </w:rPr>
        <w:t xml:space="preserve">Adjusted EBITDA Margin improved from </w:t>
      </w:r>
      <w:r>
        <w:rPr>
          <w:rFonts w:ascii="Times New Roman" w:cs="Times New Roman" w:eastAsia="Times New Roman" w:hAnsi="Times New Roman"/>
          <w:sz w:val="20"/>
          <w:szCs w:val="20"/>
          <w:color w:val="000000"/>
        </w:rPr>
        <w:t>16.7%</w:t>
      </w:r>
      <w:r>
        <w:rPr>
          <w:rFonts w:ascii="Times New Roman" w:cs="Times New Roman" w:eastAsia="Times New Roman" w:hAnsi="Times New Roman"/>
          <w:sz w:val="20"/>
          <w:szCs w:val="20"/>
          <w:color w:val="181818"/>
        </w:rPr>
        <w:t xml:space="preserve"> in Q3 2023 to </w:t>
      </w:r>
      <w:r>
        <w:rPr>
          <w:rFonts w:ascii="Times New Roman" w:cs="Times New Roman" w:eastAsia="Times New Roman" w:hAnsi="Times New Roman"/>
          <w:sz w:val="20"/>
          <w:szCs w:val="20"/>
          <w:color w:val="000000"/>
        </w:rPr>
        <w:t>27.1%</w:t>
      </w:r>
      <w:r>
        <w:rPr>
          <w:rFonts w:ascii="Times New Roman" w:cs="Times New Roman" w:eastAsia="Times New Roman" w:hAnsi="Times New Roman"/>
          <w:sz w:val="20"/>
          <w:szCs w:val="20"/>
          <w:color w:val="181818"/>
        </w:rPr>
        <w:t xml:space="preserve"> in Q3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212529"/>
        </w:rPr>
        <w:t>Nine Months 2024 Results Overview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For the nine months ended September 30, 2024 compared to the nine months ended September 30, 2023:</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212529"/>
        </w:rPr>
        <w:t xml:space="preserve">Net Revenue </w:t>
      </w:r>
      <w:r>
        <w:rPr>
          <w:rFonts w:ascii="Times New Roman" w:cs="Times New Roman" w:eastAsia="Times New Roman" w:hAnsi="Times New Roman"/>
          <w:sz w:val="20"/>
          <w:szCs w:val="20"/>
          <w:color w:val="212529"/>
        </w:rPr>
        <w:t>was $201.8 million, compared to net revenue of $163.0 million in the Nine Months 2023, a +</w:t>
      </w:r>
      <w:r>
        <w:rPr>
          <w:rFonts w:ascii="Times New Roman" w:cs="Times New Roman" w:eastAsia="Times New Roman" w:hAnsi="Times New Roman"/>
          <w:sz w:val="20"/>
          <w:szCs w:val="20"/>
          <w:color w:val="000000"/>
        </w:rPr>
        <w:t>23.8%</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increase on a net revenue</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basis and a +</w:t>
      </w:r>
      <w:r>
        <w:rPr>
          <w:rFonts w:ascii="Times New Roman" w:cs="Times New Roman" w:eastAsia="Times New Roman" w:hAnsi="Times New Roman"/>
          <w:sz w:val="20"/>
          <w:szCs w:val="20"/>
          <w:color w:val="000000"/>
        </w:rPr>
        <w:t>26.9%</w:t>
      </w:r>
      <w:r>
        <w:rPr>
          <w:rFonts w:ascii="Times New Roman" w:cs="Times New Roman" w:eastAsia="Times New Roman" w:hAnsi="Times New Roman"/>
          <w:sz w:val="20"/>
          <w:szCs w:val="20"/>
          <w:color w:val="212529"/>
        </w:rPr>
        <w:t xml:space="preserve"> increase in Comparable Net Revenue Growth.</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212529"/>
        </w:rPr>
        <w:t xml:space="preserve">Gross Profit </w:t>
      </w:r>
      <w:r>
        <w:rPr>
          <w:rFonts w:ascii="Times New Roman" w:cs="Times New Roman" w:eastAsia="Times New Roman" w:hAnsi="Times New Roman"/>
          <w:sz w:val="20"/>
          <w:szCs w:val="20"/>
          <w:color w:val="212529"/>
        </w:rPr>
        <w:t>was $142.3 million, compared to Gross Profit of $104.1 million in the Nine Months 2023. Adjusted Gross Profit was $150.9</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 xml:space="preserve">million, or </w:t>
      </w:r>
      <w:r>
        <w:rPr>
          <w:rFonts w:ascii="Times New Roman" w:cs="Times New Roman" w:eastAsia="Times New Roman" w:hAnsi="Times New Roman"/>
          <w:sz w:val="20"/>
          <w:szCs w:val="20"/>
          <w:color w:val="000000"/>
        </w:rPr>
        <w:t>74.8%</w:t>
      </w:r>
      <w:r>
        <w:rPr>
          <w:rFonts w:ascii="Times New Roman" w:cs="Times New Roman" w:eastAsia="Times New Roman" w:hAnsi="Times New Roman"/>
          <w:sz w:val="20"/>
          <w:szCs w:val="20"/>
          <w:color w:val="212529"/>
        </w:rPr>
        <w:t xml:space="preserve"> of net revenue, a margin improvement of </w:t>
      </w:r>
      <w:r>
        <w:rPr>
          <w:rFonts w:ascii="Times New Roman" w:cs="Times New Roman" w:eastAsia="Times New Roman" w:hAnsi="Times New Roman"/>
          <w:sz w:val="20"/>
          <w:szCs w:val="20"/>
          <w:color w:val="000000"/>
        </w:rPr>
        <w:t>720-basis points.</w:t>
      </w:r>
    </w:p>
    <w:p>
      <w:pPr>
        <w:spacing w:after="0" w:line="13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212529"/>
        </w:rPr>
        <w:t xml:space="preserve">Net Loss </w:t>
      </w:r>
      <w:r>
        <w:rPr>
          <w:rFonts w:ascii="Times New Roman" w:cs="Times New Roman" w:eastAsia="Times New Roman" w:hAnsi="Times New Roman"/>
          <w:sz w:val="20"/>
          <w:szCs w:val="20"/>
          <w:color w:val="212529"/>
        </w:rPr>
        <w:t>was $26.1 million, compared to a Net Loss of $73.2 million in the Nine Months 2023. Net loss improved primarily due to income</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related to the fair value adjustment for warrants.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2529"/>
        </w:rPr>
        <w:t xml:space="preserve">Adjusted EBITDA </w:t>
      </w:r>
      <w:r>
        <w:rPr>
          <w:rFonts w:ascii="Times New Roman" w:cs="Times New Roman" w:eastAsia="Times New Roman" w:hAnsi="Times New Roman"/>
          <w:sz w:val="20"/>
          <w:szCs w:val="20"/>
          <w:color w:val="212529"/>
        </w:rPr>
        <w:t>was $29.1 million, or Adjusted EBITDA Margin of</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14.4%,</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compared to</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000000"/>
        </w:rPr>
        <w:t>11.5%</w:t>
      </w:r>
      <w:r>
        <w:rPr>
          <w:rFonts w:ascii="Times New Roman" w:cs="Times New Roman" w:eastAsia="Times New Roman" w:hAnsi="Times New Roman"/>
          <w:sz w:val="20"/>
          <w:szCs w:val="20"/>
          <w:b w:val="1"/>
          <w:bCs w:val="1"/>
          <w:color w:val="212529"/>
        </w:rPr>
        <w:t xml:space="preserve"> </w:t>
      </w:r>
      <w:r>
        <w:rPr>
          <w:rFonts w:ascii="Times New Roman" w:cs="Times New Roman" w:eastAsia="Times New Roman" w:hAnsi="Times New Roman"/>
          <w:sz w:val="20"/>
          <w:szCs w:val="20"/>
          <w:color w:val="212529"/>
        </w:rPr>
        <w:t>in the Nine Months 2023.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12529"/>
        </w:rPr>
        <w:t>Nine Months 2024 Highlights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 Growth</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Comp</w:t>
            </w:r>
          </w:p>
        </w:tc>
        <w:tc>
          <w:tcPr>
            <w:tcW w:w="6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Sales</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212529"/>
              </w:rPr>
              <w:t>(In millions, except for percentages)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Waldencast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201.8</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26.9%</w:t>
            </w: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163.0</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67.6%</w:t>
            </w:r>
          </w:p>
        </w:tc>
        <w:tc>
          <w:tcPr>
            <w:tcW w:w="0" w:type="dxa"/>
            <w:vAlign w:val="bottom"/>
          </w:tcPr>
          <w:p>
            <w:pPr>
              <w:spacing w:after="0"/>
              <w:rPr>
                <w:sz w:val="1"/>
                <w:szCs w:val="1"/>
                <w:color w:val="auto"/>
              </w:rPr>
            </w:pPr>
          </w:p>
        </w:tc>
      </w:tr>
      <w:tr>
        <w:trPr>
          <w:trHeight w:val="229"/>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107.1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32.0%</w:t>
            </w:r>
          </w:p>
        </w:tc>
        <w:tc>
          <w:tcPr>
            <w:tcW w:w="120" w:type="dxa"/>
            <w:vAlign w:val="bottom"/>
            <w:tcBorders>
              <w:right w:val="single" w:sz="8" w:color="auto"/>
            </w:tcBorders>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67.8%</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Gross Profit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67.3%</w:t>
            </w:r>
          </w:p>
        </w:tc>
        <w:tc>
          <w:tcPr>
            <w:tcW w:w="0" w:type="dxa"/>
            <w:vAlign w:val="bottom"/>
          </w:tcPr>
          <w:p>
            <w:pPr>
              <w:spacing w:after="0"/>
              <w:rPr>
                <w:sz w:val="1"/>
                <w:szCs w:val="1"/>
                <w:color w:val="auto"/>
              </w:rPr>
            </w:pPr>
          </w:p>
        </w:tc>
      </w:tr>
      <w:tr>
        <w:trPr>
          <w:trHeight w:val="23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181818"/>
        </w:rPr>
        <w:t>Waldencast will host a conference call to discuss its third quarter results for the period ended September 30, 2024, Thursday, November 21, 2024, at 8:30 AM ET. Those interested in participating in the conference call are invited to dial (877) 704-4453. International callers may dial</w:t>
      </w:r>
    </w:p>
    <w:p>
      <w:pPr>
        <w:spacing w:after="0" w:line="1" w:lineRule="exact"/>
        <w:rPr>
          <w:sz w:val="20"/>
          <w:szCs w:val="20"/>
          <w:color w:val="auto"/>
        </w:rPr>
      </w:pPr>
    </w:p>
    <w:p>
      <w:pPr>
        <w:jc w:val="both"/>
        <w:ind w:firstLine="8"/>
        <w:spacing w:after="0" w:line="253" w:lineRule="auto"/>
        <w:tabs>
          <w:tab w:leader="none" w:pos="581" w:val="left"/>
        </w:tabs>
        <w:numPr>
          <w:ilvl w:val="0"/>
          <w:numId w:val="4"/>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389-0920. A live webcast of the conference call will include a slide presentation and will be available online at https://ir.waldencast.com/. A replay of the webcast will remain available on the website until the Company's next conference call. The information accessible on, or through, our website is not incorporated by reference into this release.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93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 addition to the financial measures presented in this release in accordance with </w:t>
      </w:r>
      <w:r>
        <w:rPr>
          <w:rFonts w:ascii="Times New Roman" w:cs="Times New Roman" w:eastAsia="Times New Roman" w:hAnsi="Times New Roman"/>
          <w:sz w:val="20"/>
          <w:szCs w:val="20"/>
          <w:i w:val="1"/>
          <w:iCs w:val="1"/>
          <w:color w:val="181818"/>
        </w:rPr>
        <w:t>U.S. GAAP,</w:t>
      </w:r>
      <w:r>
        <w:rPr>
          <w:rFonts w:ascii="Times New Roman" w:cs="Times New Roman" w:eastAsia="Times New Roman" w:hAnsi="Times New Roman"/>
          <w:sz w:val="20"/>
          <w:szCs w:val="20"/>
          <w:i w:val="1"/>
          <w:iCs w:val="1"/>
          <w:color w:val="auto"/>
        </w:rPr>
        <w:t xml:space="preserve"> Waldencast separately reports financial results on the basis of the measures set out and defined below which are non-GAAP financial measures. </w:t>
      </w:r>
      <w:r>
        <w:rPr>
          <w:rFonts w:ascii="Times New Roman" w:cs="Times New Roman" w:eastAsia="Times New Roman" w:hAnsi="Times New Roman"/>
          <w:sz w:val="20"/>
          <w:szCs w:val="20"/>
          <w:i w:val="1"/>
          <w:iCs w:val="1"/>
          <w:color w:val="181818"/>
        </w:rPr>
        <w:t>Waldencast</w:t>
      </w:r>
      <w:r>
        <w:rPr>
          <w:rFonts w:ascii="Times New Roman" w:cs="Times New Roman" w:eastAsia="Times New Roman" w:hAnsi="Times New Roman"/>
          <w:sz w:val="20"/>
          <w:szCs w:val="20"/>
          <w:i w:val="1"/>
          <w:iCs w:val="1"/>
          <w:color w:val="auto"/>
        </w:rPr>
        <w:t xml:space="preserve"> believes the non-GAAP measures used in this release provide useful information to management and investors regarding certain financial and business trends relating to its financial condition and results of operations. Waldencast believes that the use of these non-GAAP financial measures provides an additional tool for investors to use in evaluating ongoing operating results and trends. These non-GAAP measures also provide perspective on how Waldencast’s management evaluates and monitors the performance of the business.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There are limitations to non-GAAP financial measures because they exclude charges and credits that are required to be included in GAAP financial presentation. The items excluded from GAAP financial measures such as net income/loss to arrive at non-GAAP financial measures are significant components for understanding and assessing our financial performance. Non-GAAP financial measures should be considered together with, and not alternatives to, financial measures prepared in accordance with GAAP.</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Please refer to definitions set out in the release and the tables included in this release for a reconciliation of these metrics to the most directly comparable GAAP financial measures.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Comparable Net Revenue </w:t>
      </w:r>
      <w:r>
        <w:rPr>
          <w:rFonts w:ascii="Times New Roman" w:cs="Times New Roman" w:eastAsia="Times New Roman" w:hAnsi="Times New Roman"/>
          <w:sz w:val="20"/>
          <w:szCs w:val="20"/>
          <w:color w:val="auto"/>
        </w:rPr>
        <w:t>is defined as Net Revenue excluding sales related to the former Obagi Medical China business, which was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acquired by Waldencast at the time of the Business Combination (the “Obagi Medical China Business”) as was presented in previous earnings releases. The sales to the Obagi Medical China business have a below market sales price for a defined period of time after the acquisition of Obagi Medical. As a result of the acquisition, a below market contract liability was recognized and is amortized based on sales. This adjustment is shown in the Adjusted EBITDA reconciliation. Management believes that this non-GAAP measures provides perspective on how Waldencast’s management evaluates and monitors the performance of the business. See reconciliation to U.S. GAAP Net Revenue in the Appendix.</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Comparable Net Revenue Growth </w:t>
      </w:r>
      <w:r>
        <w:rPr>
          <w:rFonts w:ascii="Times New Roman" w:cs="Times New Roman" w:eastAsia="Times New Roman" w:hAnsi="Times New Roman"/>
          <w:sz w:val="20"/>
          <w:szCs w:val="20"/>
          <w:color w:val="auto"/>
        </w:rPr>
        <w:t>is defined as the growth in Comparable Net Revenue period over period expressed as a percentage.</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181818"/>
        </w:rPr>
        <w:t xml:space="preserve">Adjusted Gross Profit </w:t>
      </w:r>
      <w:r>
        <w:rPr>
          <w:rFonts w:ascii="Times New Roman" w:cs="Times New Roman" w:eastAsia="Times New Roman" w:hAnsi="Times New Roman"/>
          <w:sz w:val="20"/>
          <w:szCs w:val="20"/>
          <w:color w:val="181818"/>
        </w:rPr>
        <w:t>is defined as GAAP gross profit excluding the impact of inventory fair value adjustments, amortization of the supply</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agreement and formulation intangible assets, discontinued product write-off, and the amortization of the fair value of the related party liability the Obagi Medical China Business. The Adjusted Gross Profit reconciliation by Segment for each period is included in the Appendix.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81818"/>
        </w:rPr>
        <w:t xml:space="preserve">Adjusted Gross Margin </w:t>
      </w:r>
      <w:r>
        <w:rPr>
          <w:rFonts w:ascii="Times New Roman" w:cs="Times New Roman" w:eastAsia="Times New Roman" w:hAnsi="Times New Roman"/>
          <w:sz w:val="20"/>
          <w:szCs w:val="20"/>
          <w:color w:val="181818"/>
        </w:rPr>
        <w:t>is defined as Adjusted Gross Profit divided by GAAP Net Revenue.</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181818"/>
        </w:rPr>
        <w:t xml:space="preserve">Adjusted EBITDA </w:t>
      </w:r>
      <w:r>
        <w:rPr>
          <w:rFonts w:ascii="Times New Roman" w:cs="Times New Roman" w:eastAsia="Times New Roman" w:hAnsi="Times New Roman"/>
          <w:sz w:val="20"/>
          <w:szCs w:val="20"/>
          <w:color w:val="181818"/>
        </w:rPr>
        <w:t>is defined as GAAP net income (loss) before interest income or expense, income tax (benefit) expense, depreciation and</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amortization, and further adjusted for the items as described in the reconciliation below. We believe this information will be useful for investors to facilitate comparisons of our operating performance and better identify trends in our business. Adjusted EBITDA excludes certain expenses that are required to be presented in accordance with GAAP because management believes they are non-core to our regular business. These include non-cash expenses, such as depreciation and amortization, stock-based compensation, inventory fair value adjustments, the amortization of fair value of the related party liability to the Obagi Medical China Business, change in fair value of financial instruments, loss on impairment of leases, and foreign currency transaction loss (gain). In addition, adjustments include expenses that are not related to our underlying business performance including (1) legal, advisory and consultant fees related to the financial restatement of previously issued financial statements and associated regulatory investigation; (2) costs to recover and the value of the inventory recovered from the acquisition of the Vietnam distributor, and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932" w:right="339" w:bottom="1440" w:gutter="0" w:footer="0" w:header="0"/>
        </w:sectPr>
      </w:pPr>
    </w:p>
    <w:bookmarkStart w:id="8" w:name="page9"/>
    <w:bookmarkEnd w:id="8"/>
    <w:p>
      <w:pPr>
        <w:spacing w:after="0" w:line="283" w:lineRule="auto"/>
        <w:rPr>
          <w:sz w:val="20"/>
          <w:szCs w:val="20"/>
          <w:color w:val="auto"/>
        </w:rPr>
      </w:pPr>
      <w:r>
        <w:rPr>
          <w:rFonts w:ascii="Times New Roman" w:cs="Times New Roman" w:eastAsia="Times New Roman" w:hAnsi="Times New Roman"/>
          <w:sz w:val="20"/>
          <w:szCs w:val="20"/>
          <w:color w:val="181818"/>
        </w:rPr>
        <w:t>associated discontinued product; and (3) other non-recurring costs, primarily legal settlement costs and restructuring costs. The Adjusted EBITDA by Segment for each period is included in the Appendix.</w:t>
      </w:r>
    </w:p>
    <w:p>
      <w:pPr>
        <w:spacing w:after="0" w:line="14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181818"/>
        </w:rPr>
        <w:t xml:space="preserve">Adjusted EBITDA Margin </w:t>
      </w:r>
      <w:r>
        <w:rPr>
          <w:rFonts w:ascii="Times New Roman" w:cs="Times New Roman" w:eastAsia="Times New Roman" w:hAnsi="Times New Roman"/>
          <w:sz w:val="20"/>
          <w:szCs w:val="20"/>
          <w:color w:val="181818"/>
        </w:rPr>
        <w:t>is defined as Adjusted EBITDA as a percentage of net revenue. The Adjusted EBITDA Margin reconciliation</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by Segment for each period is included in the Appendix.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7"/>
                <w:szCs w:val="17"/>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16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166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(36,456)</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(26,051)</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(73,237)</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14,989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15,374</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45,002</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45,635</w:t>
            </w:r>
          </w:p>
        </w:tc>
        <w:tc>
          <w:tcPr>
            <w:tcW w:w="0" w:type="dxa"/>
            <w:vAlign w:val="bottom"/>
          </w:tcPr>
          <w:p>
            <w:pPr>
              <w:spacing w:after="0"/>
              <w:rPr>
                <w:sz w:val="1"/>
                <w:szCs w:val="1"/>
                <w:color w:val="auto"/>
              </w:rPr>
            </w:pPr>
          </w:p>
        </w:tc>
      </w:tr>
      <w:tr>
        <w:trPr>
          <w:trHeight w:val="230"/>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4,355</w:t>
            </w:r>
          </w:p>
        </w:tc>
        <w:tc>
          <w:tcPr>
            <w:tcW w:w="22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5,001</w:t>
            </w:r>
          </w:p>
        </w:tc>
        <w:tc>
          <w:tcPr>
            <w:tcW w:w="48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13,067</w:t>
            </w:r>
          </w:p>
        </w:tc>
        <w:tc>
          <w:tcPr>
            <w:tcW w:w="4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14,613</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(1,490)</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(4,003)</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(5,999)</w:t>
            </w:r>
          </w:p>
        </w:tc>
        <w:tc>
          <w:tcPr>
            <w:tcW w:w="0" w:type="dxa"/>
            <w:vAlign w:val="bottom"/>
          </w:tcPr>
          <w:p>
            <w:pPr>
              <w:spacing w:after="0"/>
              <w:rPr>
                <w:sz w:val="1"/>
                <w:szCs w:val="1"/>
                <w:color w:val="auto"/>
              </w:rPr>
            </w:pPr>
          </w:p>
        </w:tc>
      </w:tr>
      <w:tr>
        <w:trPr>
          <w:trHeight w:val="230"/>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1,872</w:t>
            </w:r>
          </w:p>
        </w:tc>
        <w:tc>
          <w:tcPr>
            <w:tcW w:w="22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2,080</w:t>
            </w:r>
          </w:p>
        </w:tc>
        <w:tc>
          <w:tcPr>
            <w:tcW w:w="48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6,399</w:t>
            </w:r>
          </w:p>
        </w:tc>
        <w:tc>
          <w:tcPr>
            <w:tcW w:w="4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Legal and advisory non-recurring costs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8,026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9,211</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18,465</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19,834</w:t>
            </w:r>
          </w:p>
        </w:tc>
        <w:tc>
          <w:tcPr>
            <w:tcW w:w="0" w:type="dxa"/>
            <w:vAlign w:val="bottom"/>
          </w:tcPr>
          <w:p>
            <w:pPr>
              <w:spacing w:after="0"/>
              <w:rPr>
                <w:sz w:val="1"/>
                <w:szCs w:val="1"/>
                <w:color w:val="auto"/>
              </w:rPr>
            </w:pPr>
          </w:p>
        </w:tc>
      </w:tr>
      <w:tr>
        <w:trPr>
          <w:trHeight w:val="229"/>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and interest rate collar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(3,390)</w:t>
            </w:r>
          </w:p>
        </w:tc>
        <w:tc>
          <w:tcPr>
            <w:tcW w:w="22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9,437</w:t>
            </w:r>
          </w:p>
        </w:tc>
        <w:tc>
          <w:tcPr>
            <w:tcW w:w="4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(24,122)</w:t>
            </w:r>
          </w:p>
        </w:tc>
        <w:tc>
          <w:tcPr>
            <w:tcW w:w="4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Amortization of related party liability</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(1,687)</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(1,510)</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100"/>
              <w:spacing w:after="0" w:line="230" w:lineRule="exact"/>
              <w:rPr>
                <w:sz w:val="20"/>
                <w:szCs w:val="20"/>
                <w:color w:val="auto"/>
              </w:rPr>
            </w:pPr>
            <w:r>
              <w:rPr>
                <w:rFonts w:ascii="Times New Roman" w:cs="Times New Roman" w:eastAsia="Times New Roman" w:hAnsi="Times New Roman"/>
                <w:sz w:val="18"/>
                <w:szCs w:val="18"/>
                <w:color w:val="auto"/>
              </w:rPr>
              <w:t>Other costs</w:t>
            </w:r>
            <w:r>
              <w:rPr>
                <w:rFonts w:ascii="Times New Roman" w:cs="Times New Roman" w:eastAsia="Times New Roman" w:hAnsi="Times New Roman"/>
                <w:sz w:val="23"/>
                <w:szCs w:val="23"/>
                <w:color w:val="auto"/>
                <w:vertAlign w:val="superscript"/>
              </w:rPr>
              <w:t>(3)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1,089</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3,409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1,852</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6,467</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11,415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4,879</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29,099</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18,783</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70,203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53,683</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201,785</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163,021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 of Net Revenue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mainly legal, advisory and consultant fees related to the financial restatement for FY 2022 and associated regulatory investigation.</w:t>
      </w:r>
    </w:p>
    <w:p>
      <w:pPr>
        <w:spacing w:after="0" w:line="50"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the fair value of the related party liability for the unfavorable discount to the Obagi Medical China Business as part of the Business Combination.</w:t>
      </w:r>
    </w:p>
    <w:p>
      <w:pPr>
        <w:spacing w:after="0" w:line="64" w:lineRule="exact"/>
        <w:rPr>
          <w:rFonts w:ascii="Times New Roman" w:cs="Times New Roman" w:eastAsia="Times New Roman" w:hAnsi="Times New Roman"/>
          <w:sz w:val="21"/>
          <w:szCs w:val="21"/>
          <w:color w:val="auto"/>
          <w:vertAlign w:val="superscript"/>
        </w:rPr>
      </w:pPr>
    </w:p>
    <w:p>
      <w:pPr>
        <w:jc w:val="both"/>
        <w:ind w:left="180" w:hanging="172"/>
        <w:spacing w:after="0" w:line="260" w:lineRule="auto"/>
        <w:tabs>
          <w:tab w:leader="none" w:pos="15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Other costs include the amortization of the fair value step-up as a result of the business combination, legal settlements, foreign currency transaction losses, the cost and gain of the recovery of inventory from the Vietnam distributor, product discontinuation costs related to advanced purchases for the Vietnam distributor, lease impairments and restructuring costs.</w:t>
      </w:r>
    </w:p>
    <w:p>
      <w:pPr>
        <w:spacing w:after="0" w:line="16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181818"/>
        </w:rPr>
        <w:t xml:space="preserve">Net Debt Position </w:t>
      </w:r>
      <w:r>
        <w:rPr>
          <w:rFonts w:ascii="Times New Roman" w:cs="Times New Roman" w:eastAsia="Times New Roman" w:hAnsi="Times New Roman"/>
          <w:sz w:val="20"/>
          <w:szCs w:val="20"/>
          <w:color w:val="181818"/>
        </w:rPr>
        <w:t>is defined as the principal outstanding for the 2022 Term Loan and 2022 Revolving Credit Facility minus the cash and</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cash equivalents as of September 30,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Reconciliation of Net</w:t>
            </w:r>
          </w:p>
        </w:tc>
      </w:tr>
      <w:tr>
        <w:trPr>
          <w:trHeight w:val="184"/>
        </w:trPr>
        <w:tc>
          <w:tcPr>
            <w:tcW w:w="9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Carrying Amount of debt</w:t>
            </w:r>
          </w:p>
        </w:tc>
      </w:tr>
      <w:tr>
        <w:trPr>
          <w:trHeight w:val="230"/>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to Net Debt</w:t>
            </w:r>
          </w:p>
        </w:tc>
      </w:tr>
      <w:tr>
        <w:trPr>
          <w:trHeight w:val="22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27,699</w:t>
            </w:r>
          </w:p>
        </w:tc>
      </w:tr>
      <w:tr>
        <w:trPr>
          <w:trHeight w:val="230"/>
        </w:trPr>
        <w:tc>
          <w:tcPr>
            <w:tcW w:w="9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141,213</w:t>
            </w:r>
          </w:p>
        </w:tc>
      </w:tr>
      <w:tr>
        <w:trPr>
          <w:trHeight w:val="223"/>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 of debt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168,912</w:t>
            </w:r>
          </w:p>
        </w:tc>
      </w:tr>
      <w:tr>
        <w:trPr>
          <w:trHeight w:val="22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Unamortized debt issuance costs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30"/>
        </w:trPr>
        <w:tc>
          <w:tcPr>
            <w:tcW w:w="9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Cash &amp; cash equivalents</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w:t>
            </w:r>
          </w:p>
        </w:tc>
      </w:tr>
      <w:tr>
        <w:trPr>
          <w:trHeight w:val="248"/>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153,979</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Waldencast plc</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Founded by Michel Brousset and Hind Sebti, Waldencast’s ambition is to build a global best-in-class beauty and wellness operating platform by developing, acquiring, accelerating, and scaling conscious, high-growth purpose-driven brands. Waldencast’s vision is fundamentally underpinned by its brand-led business model that ensures proximity to its customers, business agility, and market responsiveness, while maintaining each brand’s distinct DNA. The first step in realizing its vision was the business combination with Obagi Medical and Milk Makeup. As part of the Waldencast platform, its brands will benefit from the operational scale of a multi-brand platform; the expertise in managing global beauty brands at scale; a balanced portfolio to mitigate category fluctuations; asset light efficiency; and the market responsiveness and speed of entrepreneurial indie brands. For more information please visit: </w:t>
      </w:r>
      <w:r>
        <w:rPr>
          <w:rFonts w:ascii="Times New Roman" w:cs="Times New Roman" w:eastAsia="Times New Roman" w:hAnsi="Times New Roman"/>
          <w:sz w:val="20"/>
          <w:szCs w:val="20"/>
          <w:color w:val="0563C1"/>
        </w:rPr>
        <w:t>https://ir.waldencast.com/</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Obagi Medical is an industry-leading, advanced skin care line rooted in research and skin biology, refined with a legacy of 35 years’ experience. First known as leaders in the treatment of hyperpigmentation with the Obagi Medical Nu-Derm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 Obagi Medical products are designed to diminish the appearance of premature aging, photodamage, skin discoloration, acne, and sun damage. More information about Obagi Medical is available on the brand’s website at www.obagi.com.</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Founded in 2016, Milk Makeup quickly became a cult-favorite among the beauty community for its values of self-expression and inclusion, captured by its signature Live Your Look, its innovative formulas and clean ingredients. The brand creates vegan, cruelty-free, clean formulas from its Milk Makeup HQ in Downtown NYC. Currently, Milk Makeup offers over 300 products through its U.S. website www.MilkMakeup.com, and its retail partners including Sephora in North America, Europe, the Middle East and Australia and Cult Beauty and Selfridges in the UK.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All statements in this release that are not historical, are forward-looking statements made pursuant to the safe harbor provisions of the Private Securities Litigation Reform Act of 1995. Such statements include, but are not limited to, statements about: statements regarding Waldencast’s outlook and guidance for Q4 2024 and Fiscal 2024, the Company’s ability to deliver financial results in line with expectations; expectations regarding sales, earnings or other future financial performance and liquidity or other performance measures; the Company’s long-term strategy and future operations or operating results; expectations with respect to the Company’s industry and the markets in which it operates; future product introductions; developments relating to the ongoing investigation and legal proceedings; and any assumptions underlying any of the foregoing. Words such as “anticipate,” “believe,” “continue,” “could,” “estimate,” “expect,” “intend,” “may,” “plan,” “predict,” “project,” “should,” and “will” and variations of such words and similar expressions are intended to identify such forward-looking statements.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These forward-looking statements are not guarantees of future performance, conditions or results, and involve a number of known and unknown risks, uncertainties, assumptions and other important factors, many of which are outside the control of the Company, that could cause actual results or outcomes to differ materially from those discussed in the forward-looking statements, including, among others: (i) the inability to recognize the anticipated benefits of the business combination with Obagi Medical and Milk Makeup, (ii) the ability of the Company to file required financial results in a timely manner, (iii) the Company’s ability to successfully remediate the material weaknesses in the Company’s internal control over financial reporting, (iv) the potential for delisting, legal proceedings or existing or new government investigation or enforcement actions, including those relating to the restatement or the subject of the Audit Committee of the Company’s Board of Directors’ review further described in the Company's annual report filed on Form 20-F for the year ended December 31, 2022 or inability to finalize financial results in a timely manner, (v) the Company’s ability to obtain additional waivers from the Administrative Agent and the lenders under its credit facilities for any defaults or events of default, (vi) volatility of Waldencast's securities due to a variety of factors, including Waldencast's inability to implement its business plans or meet or exceed its financial projections and changes, (vii) the ability to implement business plans, forecasts, and other expectations, and identify and realize additional opportunities, (viii) the ability of Waldencast to implement its strategic initiatives and continue to innovate Obagi Medical’s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48"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20"/>
          <w:szCs w:val="20"/>
          <w:color w:val="auto"/>
        </w:rPr>
        <w:t>and Milk Makeup’s existing products and anticipate and respond to market trends and changes in consumer preferences, (ix) any shifts in the preferences of consumers as to where and how they shop, and (x) social, political and economic conditions. These and other risks, assumptions and uncertainties are more fully described in the Risk Factors section of our 2023 20-F (File No. 01-40207), filed with the Securities and Exchange Commission (the “SEC”) on April 30, 2024, and in our other documents that we file or furnish with the SEC, which you are encouraged to read.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Should one or more of these risks or uncertainties materialize, or should underlying assumptions prove incorrect, actual results may vary materially from those indicated or anticipated by such forward-looking statements. Accordingly, you are cautioned not to rely on these forward-looking statements, which speak only as of the date they are made. Waldencast expressly disclaims any current intention, and assumes no duty, to update publicly any forward-looking statement after the distribution of this release, whether as a result of new information, future events, changes in assumptions or otherwise.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Allison Malkin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waldencastir@icrinc.com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Brittney Fraser/Alecia Pulman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waldencast@icrinc.com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Appendix</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Comparable Net Revenue Growth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Group</w:t>
            </w:r>
          </w:p>
        </w:tc>
        <w:tc>
          <w:tcPr>
            <w:tcW w:w="8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months</w:t>
            </w:r>
          </w:p>
        </w:tc>
        <w:tc>
          <w:tcPr>
            <w:tcW w:w="122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months</w:t>
            </w:r>
          </w:p>
        </w:tc>
        <w:tc>
          <w:tcPr>
            <w:tcW w:w="1220" w:type="dxa"/>
            <w:vAlign w:val="bottom"/>
            <w:gridSpan w:val="3"/>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60" w:type="dxa"/>
            <w:vAlign w:val="bottom"/>
          </w:tcPr>
          <w:p>
            <w:pPr>
              <w:spacing w:after="0"/>
              <w:rPr>
                <w:sz w:val="15"/>
                <w:szCs w:val="15"/>
                <w:color w:val="auto"/>
              </w:rPr>
            </w:pPr>
          </w:p>
        </w:tc>
        <w:tc>
          <w:tcPr>
            <w:tcW w:w="9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5"/>
                <w:szCs w:val="15"/>
                <w:color w:val="auto"/>
              </w:rPr>
            </w:pPr>
          </w:p>
        </w:tc>
        <w:tc>
          <w:tcPr>
            <w:tcW w:w="9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5"/>
                <w:szCs w:val="15"/>
                <w:color w:val="auto"/>
              </w:rPr>
            </w:pPr>
          </w:p>
        </w:tc>
        <w:tc>
          <w:tcPr>
            <w:tcW w:w="10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5"/>
                <w:szCs w:val="15"/>
                <w:color w:val="auto"/>
              </w:rPr>
            </w:pPr>
          </w:p>
        </w:tc>
        <w:tc>
          <w:tcPr>
            <w:tcW w:w="10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5"/>
                <w:szCs w:val="15"/>
                <w:color w:val="auto"/>
              </w:rPr>
            </w:pPr>
          </w:p>
        </w:tc>
        <w:tc>
          <w:tcPr>
            <w:tcW w:w="8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40" w:type="dxa"/>
            <w:vAlign w:val="bottom"/>
          </w:tcPr>
          <w:p>
            <w:pPr>
              <w:spacing w:after="0"/>
              <w:rPr>
                <w:sz w:val="17"/>
                <w:szCs w:val="17"/>
                <w:color w:val="auto"/>
              </w:rPr>
            </w:pPr>
          </w:p>
        </w:tc>
        <w:tc>
          <w:tcPr>
            <w:tcW w:w="9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30, 2023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1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30, 2023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30, 2023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30, 2023</w:t>
            </w: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201,785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107,055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85,181</w:t>
            </w:r>
          </w:p>
        </w:tc>
        <w:tc>
          <w:tcPr>
            <w:tcW w:w="0" w:type="dxa"/>
            <w:vAlign w:val="bottom"/>
          </w:tcPr>
          <w:p>
            <w:pPr>
              <w:spacing w:after="0"/>
              <w:rPr>
                <w:sz w:val="1"/>
                <w:szCs w:val="1"/>
                <w:color w:val="auto"/>
              </w:rPr>
            </w:pPr>
          </w:p>
        </w:tc>
      </w:tr>
      <w:tr>
        <w:trPr>
          <w:trHeight w:val="175"/>
        </w:trPr>
        <w:tc>
          <w:tcPr>
            <w:tcW w:w="1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Obagi Medical China</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2,069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2,069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0" w:type="dxa"/>
            <w:vAlign w:val="bottom"/>
          </w:tcPr>
          <w:p>
            <w:pPr>
              <w:spacing w:after="0"/>
              <w:rPr>
                <w:sz w:val="1"/>
                <w:szCs w:val="1"/>
                <w:color w:val="auto"/>
              </w:rPr>
            </w:pPr>
          </w:p>
        </w:tc>
      </w:tr>
      <w:tr>
        <w:trPr>
          <w:trHeight w:val="155"/>
        </w:trPr>
        <w:tc>
          <w:tcPr>
            <w:tcW w:w="18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Comparable Net</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69,208</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51,426</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199,716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157,402</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37,695</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25,910</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104,986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79,562</w:t>
            </w:r>
          </w:p>
        </w:tc>
        <w:tc>
          <w:tcPr>
            <w:tcW w:w="0" w:type="dxa"/>
            <w:vAlign w:val="bottom"/>
          </w:tcPr>
          <w:p>
            <w:pPr>
              <w:spacing w:after="0"/>
              <w:rPr>
                <w:sz w:val="1"/>
                <w:szCs w:val="1"/>
                <w:color w:val="auto"/>
              </w:rPr>
            </w:pPr>
          </w:p>
        </w:tc>
      </w:tr>
      <w:tr>
        <w:trPr>
          <w:trHeight w:val="236"/>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Comparable Growth</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Gross Profit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r>
      <w:tr>
        <w:trPr>
          <w:trHeight w:val="169"/>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30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4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Nine months</w:t>
            </w:r>
          </w:p>
        </w:tc>
        <w:tc>
          <w:tcPr>
            <w:tcW w:w="116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180"/>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5"/>
                <w:szCs w:val="15"/>
                <w:color w:val="auto"/>
              </w:rPr>
            </w:pPr>
          </w:p>
        </w:tc>
        <w:tc>
          <w:tcPr>
            <w:tcW w:w="10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60" w:type="dxa"/>
            <w:vAlign w:val="bottom"/>
          </w:tcPr>
          <w:p>
            <w:pPr>
              <w:spacing w:after="0"/>
              <w:rPr>
                <w:sz w:val="15"/>
                <w:szCs w:val="15"/>
                <w:color w:val="auto"/>
              </w:rPr>
            </w:pPr>
          </w:p>
        </w:tc>
        <w:tc>
          <w:tcPr>
            <w:tcW w:w="9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5"/>
                <w:szCs w:val="15"/>
                <w:color w:val="auto"/>
              </w:rPr>
            </w:pPr>
          </w:p>
        </w:tc>
        <w:tc>
          <w:tcPr>
            <w:tcW w:w="92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184"/>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0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260" w:type="dxa"/>
            <w:vAlign w:val="bottom"/>
          </w:tcPr>
          <w:p>
            <w:pPr>
              <w:spacing w:after="0"/>
              <w:rPr>
                <w:sz w:val="19"/>
                <w:szCs w:val="19"/>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70,203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53,683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201,785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163,021</w:t>
            </w: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48,121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35,922</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142,294</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104,101</w:t>
            </w: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Adjustments: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5"/>
        </w:trPr>
        <w:tc>
          <w:tcPr>
            <w:tcW w:w="2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the fair value of</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26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the related party liability</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(4,058)</w:t>
            </w:r>
          </w:p>
        </w:tc>
      </w:tr>
      <w:tr>
        <w:trPr>
          <w:trHeight w:val="175"/>
        </w:trPr>
        <w:tc>
          <w:tcPr>
            <w:tcW w:w="2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the inventory fair</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26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value adjustment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1,691</w:t>
            </w:r>
          </w:p>
        </w:tc>
      </w:tr>
      <w:tr>
        <w:trPr>
          <w:trHeight w:val="230"/>
        </w:trPr>
        <w:tc>
          <w:tcPr>
            <w:tcW w:w="2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Discontinued product write-off</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2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impact of intangible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266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assets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8,404</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8,404</w:t>
            </w:r>
          </w:p>
        </w:tc>
      </w:tr>
      <w:tr>
        <w:trPr>
          <w:trHeight w:val="223"/>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150,913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110,138</w:t>
            </w:r>
          </w:p>
        </w:tc>
      </w:tr>
      <w:tr>
        <w:trPr>
          <w:trHeight w:val="23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Gross Margin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r>
    </w:tbl>
    <w:p>
      <w:pPr>
        <w:spacing w:after="0" w:line="8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Relates to the fair value of the related party liability for the unfavorable discount to the Obagi Medical China Business as part of the Business Combination.</w:t>
      </w:r>
    </w:p>
    <w:p>
      <w:pPr>
        <w:spacing w:after="0" w:line="64" w:lineRule="exact"/>
        <w:rPr>
          <w:rFonts w:ascii="Times New Roman" w:cs="Times New Roman" w:eastAsia="Times New Roman" w:hAnsi="Times New Roman"/>
          <w:sz w:val="22"/>
          <w:szCs w:val="22"/>
          <w:color w:val="auto"/>
          <w:vertAlign w:val="superscript"/>
        </w:rPr>
      </w:pPr>
    </w:p>
    <w:p>
      <w:pPr>
        <w:ind w:left="180" w:hanging="172"/>
        <w:spacing w:after="0" w:line="188"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w:t>
      </w:r>
      <w:r>
        <w:rPr>
          <w:rFonts w:ascii="Times New Roman" w:cs="Times New Roman" w:eastAsia="Times New Roman" w:hAnsi="Times New Roman"/>
          <w:sz w:val="15"/>
          <w:szCs w:val="15"/>
          <w:color w:val="auto"/>
        </w:rPr>
        <w:t>elates to the amortization of the inventory fair value step-up as a result of the Business Combination.</w:t>
      </w:r>
    </w:p>
    <w:p>
      <w:pPr>
        <w:spacing w:after="0" w:line="68" w:lineRule="exact"/>
        <w:rPr>
          <w:rFonts w:ascii="Times New Roman" w:cs="Times New Roman" w:eastAsia="Times New Roman" w:hAnsi="Times New Roman"/>
          <w:sz w:val="22"/>
          <w:szCs w:val="22"/>
          <w:color w:val="auto"/>
          <w:vertAlign w:val="superscript"/>
        </w:rPr>
      </w:pPr>
    </w:p>
    <w:p>
      <w:pPr>
        <w:ind w:left="180" w:hanging="172"/>
        <w:spacing w:after="0" w:line="212" w:lineRule="auto"/>
        <w:tabs>
          <w:tab w:leader="none" w:pos="212"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Relates to the advanced purchase of specific products for the market in Vietnam sold through the Vietnam distributor that became obsolete when the contract was terminated.</w:t>
      </w:r>
    </w:p>
    <w:p>
      <w:pPr>
        <w:spacing w:after="0" w:line="5"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Supply Agreement and Formulations intangible assets are amortized to COGS.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6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3"/>
        </w:trPr>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4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14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1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80" w:type="dxa"/>
            <w:vAlign w:val="bottom"/>
          </w:tcPr>
          <w:p>
            <w:pPr>
              <w:spacing w:after="0"/>
              <w:rPr>
                <w:sz w:val="14"/>
                <w:szCs w:val="14"/>
                <w:color w:val="auto"/>
              </w:rPr>
            </w:pPr>
          </w:p>
        </w:tc>
        <w:tc>
          <w:tcPr>
            <w:tcW w:w="124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4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Nine months</w:t>
            </w:r>
          </w:p>
        </w:tc>
        <w:tc>
          <w:tcPr>
            <w:tcW w:w="11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ended</w:t>
            </w:r>
          </w:p>
        </w:tc>
        <w:tc>
          <w:tcPr>
            <w:tcW w:w="220" w:type="dxa"/>
            <w:vAlign w:val="bottom"/>
          </w:tcPr>
          <w:p>
            <w:pPr>
              <w:spacing w:after="0"/>
              <w:rPr>
                <w:sz w:val="15"/>
                <w:szCs w:val="15"/>
                <w:color w:val="auto"/>
              </w:rPr>
            </w:pPr>
          </w:p>
        </w:tc>
        <w:tc>
          <w:tcPr>
            <w:tcW w:w="102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ended</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5"/>
                <w:szCs w:val="15"/>
                <w:color w:val="auto"/>
              </w:rPr>
            </w:pPr>
          </w:p>
        </w:tc>
        <w:tc>
          <w:tcPr>
            <w:tcW w:w="10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5"/>
                <w:szCs w:val="15"/>
                <w:color w:val="auto"/>
              </w:rPr>
            </w:pPr>
          </w:p>
        </w:tc>
        <w:tc>
          <w:tcPr>
            <w:tcW w:w="10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ended</w:t>
            </w:r>
          </w:p>
        </w:tc>
        <w:tc>
          <w:tcPr>
            <w:tcW w:w="220" w:type="dxa"/>
            <w:vAlign w:val="bottom"/>
          </w:tcPr>
          <w:p>
            <w:pPr>
              <w:spacing w:after="0"/>
              <w:rPr>
                <w:sz w:val="15"/>
                <w:szCs w:val="15"/>
                <w:color w:val="auto"/>
              </w:rPr>
            </w:pPr>
          </w:p>
        </w:tc>
        <w:tc>
          <w:tcPr>
            <w:tcW w:w="100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ended</w:t>
            </w:r>
          </w:p>
        </w:tc>
        <w:tc>
          <w:tcPr>
            <w:tcW w:w="220" w:type="dxa"/>
            <w:vAlign w:val="bottom"/>
          </w:tcPr>
          <w:p>
            <w:pPr>
              <w:spacing w:after="0"/>
              <w:rPr>
                <w:sz w:val="15"/>
                <w:szCs w:val="15"/>
                <w:color w:val="auto"/>
              </w:rPr>
            </w:pPr>
          </w:p>
        </w:tc>
        <w:tc>
          <w:tcPr>
            <w:tcW w:w="102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5"/>
                <w:szCs w:val="15"/>
                <w:color w:val="auto"/>
              </w:rPr>
            </w:pPr>
          </w:p>
        </w:tc>
        <w:tc>
          <w:tcPr>
            <w:tcW w:w="92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0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220" w:type="dxa"/>
            <w:vAlign w:val="bottom"/>
          </w:tcPr>
          <w:p>
            <w:pPr>
              <w:spacing w:after="0"/>
              <w:rPr>
                <w:sz w:val="17"/>
                <w:szCs w:val="17"/>
                <w:color w:val="auto"/>
              </w:rPr>
            </w:pPr>
          </w:p>
        </w:tc>
        <w:tc>
          <w:tcPr>
            <w:tcW w:w="92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38,690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107,055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85,181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94,730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77,840</w:t>
            </w:r>
          </w:p>
        </w:tc>
        <w:tc>
          <w:tcPr>
            <w:tcW w:w="0" w:type="dxa"/>
            <w:vAlign w:val="bottom"/>
          </w:tcPr>
          <w:p>
            <w:pPr>
              <w:spacing w:after="0"/>
              <w:rPr>
                <w:sz w:val="1"/>
                <w:szCs w:val="1"/>
                <w:color w:val="auto"/>
              </w:rPr>
            </w:pP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27,139</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18,066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76,710</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53,406</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20,982</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17,855</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65,590</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50,695</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5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Amortization of the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fair value of the</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related party</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(4,058)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the</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inventory fair value</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176"/>
        </w:trPr>
        <w:tc>
          <w:tcPr>
            <w:tcW w:w="1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Discontinued</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write-off</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impact of intangible</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58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Gross</w:t>
            </w: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85,329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57,752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20,982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65,590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52,386</w:t>
            </w:r>
          </w:p>
        </w:tc>
        <w:tc>
          <w:tcPr>
            <w:tcW w:w="0" w:type="dxa"/>
            <w:vAlign w:val="bottom"/>
          </w:tcPr>
          <w:p>
            <w:pPr>
              <w:spacing w:after="0"/>
              <w:rPr>
                <w:sz w:val="1"/>
                <w:szCs w:val="1"/>
                <w:color w:val="auto"/>
              </w:rPr>
            </w:pPr>
          </w:p>
        </w:tc>
      </w:tr>
      <w:tr>
        <w:trPr>
          <w:trHeight w:val="176"/>
        </w:trPr>
        <w:tc>
          <w:tcPr>
            <w:tcW w:w="1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Gross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Margin %</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2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EBITDA Margin by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Obagi Medical</w:t>
            </w: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Milk Makeup</w:t>
            </w: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5"/>
              </w:rPr>
              <w:t>Three</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184"/>
        </w:trPr>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14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6"/>
                <w:szCs w:val="16"/>
                <w:color w:val="auto"/>
              </w:rPr>
            </w:pPr>
          </w:p>
        </w:tc>
        <w:tc>
          <w:tcPr>
            <w:tcW w:w="10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03"/>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120" w:type="dxa"/>
            <w:vAlign w:val="bottom"/>
            <w:gridSpan w:val="3"/>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7"/>
                <w:szCs w:val="17"/>
                <w:color w:val="auto"/>
              </w:rPr>
            </w:pPr>
          </w:p>
        </w:tc>
        <w:tc>
          <w:tcPr>
            <w:tcW w:w="10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1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3"/>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30, 2023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30, 2024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30, 2023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30, 2023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30, 2023</w:t>
            </w:r>
          </w:p>
        </w:tc>
        <w:tc>
          <w:tcPr>
            <w:tcW w:w="0" w:type="dxa"/>
            <w:vAlign w:val="bottom"/>
          </w:tcPr>
          <w:p>
            <w:pPr>
              <w:spacing w:after="0"/>
              <w:rPr>
                <w:sz w:val="1"/>
                <w:szCs w:val="1"/>
                <w:color w:val="auto"/>
              </w:rPr>
            </w:pPr>
          </w:p>
        </w:tc>
      </w:tr>
      <w:tr>
        <w:trPr>
          <w:trHeight w:val="223"/>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(7,975)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(11,647)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(23,906)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8,573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Depreciation and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14,057</w:t>
            </w:r>
          </w:p>
        </w:tc>
        <w:tc>
          <w:tcPr>
            <w:tcW w:w="0" w:type="dxa"/>
            <w:vAlign w:val="bottom"/>
          </w:tcPr>
          <w:p>
            <w:pPr>
              <w:spacing w:after="0"/>
              <w:rPr>
                <w:sz w:val="1"/>
                <w:szCs w:val="1"/>
                <w:color w:val="auto"/>
              </w:rPr>
            </w:pPr>
          </w:p>
        </w:tc>
      </w:tr>
      <w:tr>
        <w:trPr>
          <w:trHeight w:val="229"/>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184"/>
        </w:trPr>
        <w:tc>
          <w:tcPr>
            <w:tcW w:w="19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4"/>
        </w:trPr>
        <w:tc>
          <w:tcPr>
            <w:tcW w:w="194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Stock-based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184"/>
        </w:trPr>
        <w:tc>
          <w:tcPr>
            <w:tcW w:w="19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Legal and advisory</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non-recurring costs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4"/>
        </w:trPr>
        <w:tc>
          <w:tcPr>
            <w:tcW w:w="194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Amortization of related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party liability</w:t>
            </w: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costs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23"/>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7,484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3,258</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20,678</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12,882</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8,526</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24,249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17,016</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107,055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85,181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94,730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77,840</w:t>
            </w:r>
          </w:p>
        </w:tc>
        <w:tc>
          <w:tcPr>
            <w:tcW w:w="0" w:type="dxa"/>
            <w:vAlign w:val="bottom"/>
          </w:tcPr>
          <w:p>
            <w:pPr>
              <w:spacing w:after="0"/>
              <w:rPr>
                <w:sz w:val="1"/>
                <w:szCs w:val="1"/>
                <w:color w:val="auto"/>
              </w:rPr>
            </w:pPr>
          </w:p>
        </w:tc>
      </w:tr>
      <w:tr>
        <w:trPr>
          <w:trHeight w:val="180"/>
        </w:trPr>
        <w:tc>
          <w:tcPr>
            <w:tcW w:w="19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Net (Loss) Income %</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 Net Revenue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93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2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Central costs</w:t>
            </w: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r>
        <w:trPr>
          <w:trHeight w:val="169"/>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1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0" w:type="dxa"/>
            <w:vAlign w:val="bottom"/>
            <w:gridSpan w:val="3"/>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1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Nine months</w:t>
            </w:r>
          </w:p>
        </w:tc>
      </w:tr>
      <w:tr>
        <w:trPr>
          <w:trHeight w:val="180"/>
        </w:trPr>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5"/>
                <w:szCs w:val="15"/>
                <w:color w:val="auto"/>
              </w:rPr>
            </w:pPr>
          </w:p>
        </w:tc>
        <w:tc>
          <w:tcPr>
            <w:tcW w:w="98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184"/>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40" w:type="dxa"/>
            <w:vAlign w:val="bottom"/>
          </w:tcPr>
          <w:p>
            <w:pPr>
              <w:spacing w:after="0"/>
              <w:rPr>
                <w:sz w:val="16"/>
                <w:szCs w:val="16"/>
                <w:color w:val="auto"/>
              </w:rPr>
            </w:pPr>
          </w:p>
        </w:tc>
        <w:tc>
          <w:tcPr>
            <w:tcW w:w="9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percentages)</w:t>
            </w: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30, 2023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30, 2023</w:t>
            </w: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(47,631)</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30"/>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75"/>
        </w:trPr>
        <w:tc>
          <w:tcPr>
            <w:tcW w:w="26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175"/>
        </w:trPr>
        <w:tc>
          <w:tcPr>
            <w:tcW w:w="26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Legal and advisory non-recurring</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19,224</w:t>
            </w:r>
          </w:p>
        </w:tc>
      </w:tr>
      <w:tr>
        <w:trPr>
          <w:trHeight w:val="176"/>
        </w:trPr>
        <w:tc>
          <w:tcPr>
            <w:tcW w:w="26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Change in fair value of warrants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2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interest rate collar</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r>
      <w:tr>
        <w:trPr>
          <w:trHeight w:val="229"/>
        </w:trPr>
        <w:tc>
          <w:tcPr>
            <w:tcW w:w="2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 of Net Revenue</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37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139"/>
          </w:cols>
          <w:pgMar w:left="320" w:top="957"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Fully Diluted Share Count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Ordinary Shares Outstanding (as of November 15, 2024)</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111,818,130</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A ordinary shares subject to outstanding stock options held by our executive officers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are currently exercisable or exercisable within 60 days of the record date</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3,833,332</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A ordinary shares subject to restricted stock units that are vested or will vest within 60</w:t>
            </w: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7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days of the record date, but have not yet been settled</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266,246</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Class A Outstanding with Dilutive Executive Awards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115,917,708</w:t>
            </w:r>
          </w:p>
        </w:tc>
        <w:tc>
          <w:tcPr>
            <w:tcW w:w="0" w:type="dxa"/>
            <w:vAlign w:val="bottom"/>
          </w:tcPr>
          <w:p>
            <w:pPr>
              <w:spacing w:after="0"/>
              <w:rPr>
                <w:sz w:val="1"/>
                <w:szCs w:val="1"/>
                <w:color w:val="auto"/>
              </w:rPr>
            </w:pPr>
          </w:p>
        </w:tc>
      </w:tr>
      <w:tr>
        <w:trPr>
          <w:trHeight w:val="270"/>
        </w:trPr>
        <w:tc>
          <w:tcPr>
            <w:tcW w:w="67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Class B Shares Outstanding</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(as of November 15, 2024)</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10,766,528</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Dilutive Executive Shares from Above</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4,099,578</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 outstanding</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122,584,658</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 employee RSUs</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266,246</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shares outstanding</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122,850,904</w:t>
            </w:r>
          </w:p>
        </w:tc>
        <w:tc>
          <w:tcPr>
            <w:tcW w:w="0" w:type="dxa"/>
            <w:vAlign w:val="bottom"/>
          </w:tcPr>
          <w:p>
            <w:pPr>
              <w:spacing w:after="0"/>
              <w:rPr>
                <w:sz w:val="1"/>
                <w:szCs w:val="1"/>
                <w:color w:val="auto"/>
              </w:rPr>
            </w:pPr>
          </w:p>
        </w:tc>
      </w:tr>
      <w:tr>
        <w:trPr>
          <w:trHeight w:val="270"/>
        </w:trPr>
        <w:tc>
          <w:tcPr>
            <w:tcW w:w="67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15"/>
                <w:szCs w:val="15"/>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No. of Shares</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8"/>
                <w:szCs w:val="18"/>
                <w:b w:val="1"/>
                <w:bCs w:val="1"/>
                <w:color w:val="auto"/>
                <w:w w:val="96"/>
              </w:rPr>
              <w:t>Weighted Avg.</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Strike Price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Unvested employee RSUs</w:t>
            </w:r>
            <w:r>
              <w:rPr>
                <w:rFonts w:ascii="Times New Roman" w:cs="Times New Roman" w:eastAsia="Times New Roman" w:hAnsi="Times New Roman"/>
                <w:sz w:val="23"/>
                <w:szCs w:val="23"/>
                <w:color w:val="auto"/>
                <w:vertAlign w:val="superscript"/>
              </w:rPr>
              <w:t>3</w:t>
            </w: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5,478,083</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 employee stock rights with exercise prices</w:t>
            </w:r>
            <w:r>
              <w:rPr>
                <w:rFonts w:ascii="Times New Roman" w:cs="Times New Roman" w:eastAsia="Times New Roman" w:hAnsi="Times New Roman"/>
                <w:sz w:val="23"/>
                <w:szCs w:val="23"/>
                <w:color w:val="auto"/>
                <w:vertAlign w:val="superscript"/>
              </w:rPr>
              <w:t>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10,215,200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Unvested employee stock rights with exercise prices</w:t>
            </w:r>
            <w:r>
              <w:rPr>
                <w:rFonts w:ascii="Times New Roman" w:cs="Times New Roman" w:eastAsia="Times New Roman" w:hAnsi="Times New Roman"/>
                <w:sz w:val="23"/>
                <w:szCs w:val="23"/>
                <w:color w:val="auto"/>
                <w:vertAlign w:val="superscript"/>
              </w:rPr>
              <w:t>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8,062,239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diluted shares outstanding</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128,328,987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23"/>
                <w:szCs w:val="23"/>
                <w:color w:val="auto"/>
                <w:vertAlign w:val="superscript"/>
              </w:rPr>
              <w:t>5</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29,533,282</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Vested RSUs included in basic shares outstanding as they have been approved but not issued.</w:t>
      </w:r>
    </w:p>
    <w:p>
      <w:pPr>
        <w:spacing w:after="0" w:line="55" w:lineRule="exact"/>
        <w:rPr>
          <w:rFonts w:ascii="Times New Roman" w:cs="Times New Roman" w:eastAsia="Times New Roman" w:hAnsi="Times New Roman"/>
          <w:sz w:val="23"/>
          <w:szCs w:val="23"/>
          <w:color w:val="auto"/>
          <w:vertAlign w:val="superscript"/>
        </w:rPr>
      </w:pPr>
    </w:p>
    <w:p>
      <w:pPr>
        <w:ind w:right="5680"/>
        <w:spacing w:after="0" w:line="23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Waldencast plc Class B shares owned by former members of Milk Makeup.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Unvested RSUs includes awards granted in October 2024.</w:t>
      </w:r>
    </w:p>
    <w:p>
      <w:pPr>
        <w:spacing w:after="0" w:line="2" w:lineRule="exact"/>
        <w:rPr>
          <w:sz w:val="20"/>
          <w:szCs w:val="20"/>
          <w:color w:val="auto"/>
        </w:rPr>
      </w:pPr>
    </w:p>
    <w:p>
      <w:pPr>
        <w:ind w:left="180" w:hanging="172"/>
        <w:spacing w:after="0" w:line="224" w:lineRule="auto"/>
        <w:tabs>
          <w:tab w:leader="none" w:pos="13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Dilution from employee stock rights with exercise prices assumes net share settlement under treasury stock method, based on WALD closing price on November 14, 2024.</w:t>
      </w:r>
    </w:p>
    <w:p>
      <w:pPr>
        <w:spacing w:after="0" w:line="7"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17,869,732 Waldencast plc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sectPr>
      <w:pgSz w:w="11900" w:h="16838" w:orient="portrait"/>
      <w:cols w:equalWidth="0" w:num="1">
        <w:col w:w="11240"/>
      </w:cols>
      <w:pgMar w:left="320" w:top="9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0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2024-11-20T15:52:57Z</dcterms:created>
  <dcterms:modified xsi:type="dcterms:W3CDTF">2024-11-20T15:52:57Z</dcterms:modified>
</cp:coreProperties>
</file>