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-667385</wp:posOffset>
            </wp:positionH>
            <wp:positionV relativeFrom="paragraph">
              <wp:posOffset>134620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-667385</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August 2024</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001-40207</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Waldencast plc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Bank Street, Suite 560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Plains, New York, 10606</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3760" w:hanging="200"/>
        <w:spacing w:after="0" w:line="207" w:lineRule="exact"/>
        <w:tabs>
          <w:tab w:leader="none" w:pos="3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3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5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ectPr>
          <w:pgSz w:w="11900" w:h="16838" w:orient="portrait"/>
          <w:cols w:equalWidth="0" w:num="1">
            <w:col w:w="9140"/>
          </w:cols>
          <w:pgMar w:left="1380" w:top="1440"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Waldencast plc Announces Q2 2024 Financial Results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27, 2024, Waldencast plc provided business and financial updates by way of a press release for the three and six months ended June 30, 2024. A copy of the press release is attached hereto as Exhibit 99.1.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4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6"/>
        </w:trPr>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EXHIBIT NO.</w:t>
            </w:r>
          </w:p>
        </w:tc>
        <w:tc>
          <w:tcPr>
            <w:tcW w:w="3760" w:type="dxa"/>
            <w:vAlign w:val="bottom"/>
          </w:tcPr>
          <w:p>
            <w:pPr>
              <w:spacing w:after="0"/>
              <w:rPr>
                <w:sz w:val="24"/>
                <w:szCs w:val="24"/>
                <w:color w:val="auto"/>
              </w:rPr>
            </w:pPr>
          </w:p>
        </w:tc>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2280" w:type="dxa"/>
            <w:vAlign w:val="bottom"/>
            <w:tcBorders>
              <w:top w:val="single" w:sz="8" w:color="auto"/>
            </w:tcBorders>
            <w:shd w:val="clear" w:color="auto" w:fill="CCEEFF"/>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right w:val="single" w:sz="8" w:color="CFF0FC"/>
            </w:tcBorders>
            <w:shd w:val="clear" w:color="auto" w:fill="CCEEFF"/>
          </w:tcPr>
          <w:p>
            <w:pPr>
              <w:spacing w:after="0"/>
              <w:rPr>
                <w:sz w:val="17"/>
                <w:szCs w:val="17"/>
                <w:color w:val="auto"/>
              </w:rPr>
            </w:pPr>
          </w:p>
        </w:tc>
        <w:tc>
          <w:tcPr>
            <w:tcW w:w="8840" w:type="dxa"/>
            <w:vAlign w:val="bottom"/>
            <w:tcBorders>
              <w:top w:val="single" w:sz="8" w:color="auto"/>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EE"/>
              </w:rPr>
              <w:t>Waldencast plc press release, dated August 27, 2024</w:t>
            </w:r>
          </w:p>
        </w:tc>
      </w:tr>
      <w:tr>
        <w:trPr>
          <w:trHeight w:val="34"/>
        </w:trPr>
        <w:tc>
          <w:tcPr>
            <w:tcW w:w="2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FF0FC"/>
            </w:tcBorders>
            <w:shd w:val="clear" w:color="auto" w:fill="CCEEFF"/>
          </w:tcPr>
          <w:p>
            <w:pPr>
              <w:spacing w:after="0"/>
              <w:rPr>
                <w:sz w:val="2"/>
                <w:szCs w:val="2"/>
                <w:color w:val="auto"/>
              </w:rPr>
            </w:pPr>
          </w:p>
        </w:tc>
        <w:tc>
          <w:tcPr>
            <w:tcW w:w="3760" w:type="dxa"/>
            <w:vAlign w:val="bottom"/>
            <w:tcBorders>
              <w:top w:val="single" w:sz="8" w:color="0000EE"/>
            </w:tcBorders>
            <w:shd w:val="clear" w:color="auto" w:fill="CFF0FC"/>
          </w:tcPr>
          <w:p>
            <w:pPr>
              <w:spacing w:after="0"/>
              <w:rPr>
                <w:sz w:val="2"/>
                <w:szCs w:val="2"/>
                <w:color w:val="auto"/>
              </w:rPr>
            </w:pPr>
          </w:p>
        </w:tc>
        <w:tc>
          <w:tcPr>
            <w:tcW w:w="5080" w:type="dxa"/>
            <w:vAlign w:val="bottom"/>
            <w:tcBorders>
              <w:top w:val="single" w:sz="8" w:color="CFF0FC"/>
            </w:tcBorders>
            <w:shd w:val="clear" w:color="auto" w:fill="CFF0FC"/>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 w:name="page3"/>
    <w:bookmarkEnd w:id="2"/>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Waldencast plc has duly caused this report to be signed on its behalf by the undersigned, thereunto duly authorized.</w:t>
      </w:r>
    </w:p>
    <w:p>
      <w:pPr>
        <w:spacing w:after="0" w:line="2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Waldencast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34290</wp:posOffset>
            </wp:positionV>
            <wp:extent cx="409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27, 2024</w:t>
            </w:r>
          </w:p>
        </w:tc>
        <w:tc>
          <w:tcPr>
            <w:tcW w:w="38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Manuel Manfredi</w:t>
            </w:r>
          </w:p>
        </w:tc>
        <w:tc>
          <w:tcPr>
            <w:tcW w:w="438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8"/>
        </w:trPr>
        <w:tc>
          <w:tcPr>
            <w:tcW w:w="29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Manuel Manfredi</w:t>
            </w:r>
          </w:p>
        </w:tc>
      </w:tr>
      <w:tr>
        <w:trPr>
          <w:trHeight w:val="220"/>
        </w:trPr>
        <w:tc>
          <w:tcPr>
            <w:tcW w:w="29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  and  Principal  Financial</w:t>
            </w:r>
          </w:p>
        </w:tc>
      </w:tr>
      <w:tr>
        <w:trPr>
          <w:trHeight w:val="234"/>
        </w:trPr>
        <w:tc>
          <w:tcPr>
            <w:tcW w:w="2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3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123825</wp:posOffset>
            </wp:positionV>
            <wp:extent cx="33515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Calibri" w:cs="Calibri" w:eastAsia="Calibri" w:hAnsi="Calibri"/>
          <w:sz w:val="24"/>
          <w:szCs w:val="24"/>
          <w:b w:val="1"/>
          <w:bCs w:val="1"/>
          <w:color w:val="181818"/>
        </w:rPr>
        <w:t>Waldencast Reports Q2 2024 Financial Results</w:t>
      </w:r>
    </w:p>
    <w:p>
      <w:pPr>
        <w:spacing w:after="0" w:line="207" w:lineRule="exact"/>
        <w:rPr>
          <w:sz w:val="20"/>
          <w:szCs w:val="20"/>
          <w:color w:val="auto"/>
        </w:rPr>
      </w:pPr>
    </w:p>
    <w:p>
      <w:pPr>
        <w:jc w:val="center"/>
        <w:ind w:right="-19"/>
        <w:spacing w:after="0"/>
        <w:rPr>
          <w:sz w:val="20"/>
          <w:szCs w:val="20"/>
          <w:color w:val="auto"/>
        </w:rPr>
      </w:pPr>
      <w:r>
        <w:rPr>
          <w:rFonts w:ascii="Calibri" w:cs="Calibri" w:eastAsia="Calibri" w:hAnsi="Calibri"/>
          <w:sz w:val="24"/>
          <w:szCs w:val="24"/>
          <w:color w:val="auto"/>
        </w:rPr>
        <w:t xml:space="preserve">$63.3 million </w:t>
      </w:r>
      <w:r>
        <w:rPr>
          <w:rFonts w:ascii="Calibri" w:cs="Calibri" w:eastAsia="Calibri" w:hAnsi="Calibri"/>
          <w:sz w:val="24"/>
          <w:szCs w:val="24"/>
          <w:color w:val="181818"/>
        </w:rPr>
        <w:t>of Net Revenue Q2 2024</w:t>
      </w:r>
    </w:p>
    <w:p>
      <w:pPr>
        <w:spacing w:after="0" w:line="47" w:lineRule="exact"/>
        <w:rPr>
          <w:sz w:val="20"/>
          <w:szCs w:val="20"/>
          <w:color w:val="auto"/>
        </w:rPr>
      </w:pPr>
    </w:p>
    <w:p>
      <w:pPr>
        <w:jc w:val="center"/>
        <w:spacing w:after="0" w:line="263" w:lineRule="auto"/>
        <w:rPr>
          <w:sz w:val="20"/>
          <w:szCs w:val="20"/>
          <w:color w:val="auto"/>
        </w:rPr>
      </w:pPr>
      <w:r>
        <w:rPr>
          <w:rFonts w:ascii="Calibri" w:cs="Calibri" w:eastAsia="Calibri" w:hAnsi="Calibri"/>
          <w:sz w:val="24"/>
          <w:szCs w:val="24"/>
          <w:color w:val="181818"/>
        </w:rPr>
        <w:t>+</w:t>
      </w:r>
      <w:r>
        <w:rPr>
          <w:rFonts w:ascii="Calibri" w:cs="Calibri" w:eastAsia="Calibri" w:hAnsi="Calibri"/>
          <w:sz w:val="24"/>
          <w:szCs w:val="24"/>
          <w:color w:val="000000"/>
        </w:rPr>
        <w:t>25.7% net revenue</w:t>
      </w:r>
      <w:r>
        <w:rPr>
          <w:rFonts w:ascii="Calibri" w:cs="Calibri" w:eastAsia="Calibri" w:hAnsi="Calibri"/>
          <w:sz w:val="24"/>
          <w:szCs w:val="24"/>
          <w:color w:val="181818"/>
        </w:rPr>
        <w:t xml:space="preserve"> Comparable Growth: +</w:t>
      </w:r>
      <w:r>
        <w:rPr>
          <w:rFonts w:ascii="Calibri" w:cs="Calibri" w:eastAsia="Calibri" w:hAnsi="Calibri"/>
          <w:sz w:val="24"/>
          <w:szCs w:val="24"/>
          <w:color w:val="000000"/>
        </w:rPr>
        <w:t>30.9%</w:t>
      </w:r>
      <w:r>
        <w:rPr>
          <w:rFonts w:ascii="Calibri" w:cs="Calibri" w:eastAsia="Calibri" w:hAnsi="Calibri"/>
          <w:sz w:val="24"/>
          <w:szCs w:val="24"/>
          <w:color w:val="181818"/>
        </w:rPr>
        <w:t xml:space="preserve"> Obagi Medical and +</w:t>
      </w:r>
      <w:r>
        <w:rPr>
          <w:rFonts w:ascii="Calibri" w:cs="Calibri" w:eastAsia="Calibri" w:hAnsi="Calibri"/>
          <w:sz w:val="24"/>
          <w:szCs w:val="24"/>
          <w:color w:val="000000"/>
        </w:rPr>
        <w:t>20.0%</w:t>
      </w:r>
      <w:r>
        <w:rPr>
          <w:rFonts w:ascii="Calibri" w:cs="Calibri" w:eastAsia="Calibri" w:hAnsi="Calibri"/>
          <w:sz w:val="24"/>
          <w:szCs w:val="24"/>
          <w:color w:val="181818"/>
        </w:rPr>
        <w:t xml:space="preserve"> Milk Makeup vs Q2 2023 Adjusted EBITDA of $</w:t>
      </w:r>
      <w:r>
        <w:rPr>
          <w:rFonts w:ascii="Calibri" w:cs="Calibri" w:eastAsia="Calibri" w:hAnsi="Calibri"/>
          <w:sz w:val="24"/>
          <w:szCs w:val="24"/>
          <w:color w:val="000000"/>
        </w:rPr>
        <w:t>6.3</w:t>
      </w:r>
      <w:r>
        <w:rPr>
          <w:rFonts w:ascii="Calibri" w:cs="Calibri" w:eastAsia="Calibri" w:hAnsi="Calibri"/>
          <w:sz w:val="24"/>
          <w:szCs w:val="24"/>
          <w:color w:val="181818"/>
        </w:rPr>
        <w:t xml:space="preserve"> million, up +</w:t>
      </w:r>
      <w:r>
        <w:rPr>
          <w:rFonts w:ascii="Calibri" w:cs="Calibri" w:eastAsia="Calibri" w:hAnsi="Calibri"/>
          <w:sz w:val="24"/>
          <w:szCs w:val="24"/>
          <w:color w:val="000000"/>
        </w:rPr>
        <w:t>64.5%</w:t>
      </w:r>
      <w:r>
        <w:rPr>
          <w:rFonts w:ascii="Calibri" w:cs="Calibri" w:eastAsia="Calibri" w:hAnsi="Calibri"/>
          <w:sz w:val="24"/>
          <w:szCs w:val="24"/>
          <w:color w:val="181818"/>
        </w:rPr>
        <w:t xml:space="preserve"> vs </w:t>
      </w:r>
      <w:r>
        <w:rPr>
          <w:rFonts w:ascii="Calibri" w:cs="Calibri" w:eastAsia="Calibri" w:hAnsi="Calibri"/>
          <w:sz w:val="24"/>
          <w:szCs w:val="24"/>
          <w:color w:val="000000"/>
        </w:rPr>
        <w:t>Q2 2023</w:t>
      </w:r>
    </w:p>
    <w:p>
      <w:pPr>
        <w:spacing w:after="0" w:line="185"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181818"/>
        </w:rPr>
        <w:t xml:space="preserve">August 27, 2024 – New York </w:t>
      </w:r>
      <w:r>
        <w:rPr>
          <w:rFonts w:ascii="Calibri" w:cs="Calibri" w:eastAsia="Calibri" w:hAnsi="Calibri"/>
          <w:sz w:val="20"/>
          <w:szCs w:val="20"/>
          <w:color w:val="181818"/>
        </w:rPr>
        <w:t>– Waldencast plc (NASDAQ: WALD) (“Waldencast” or the “Company”),</w:t>
      </w:r>
      <w:r>
        <w:rPr>
          <w:rFonts w:ascii="Calibri" w:cs="Calibri" w:eastAsia="Calibri" w:hAnsi="Calibri"/>
          <w:sz w:val="20"/>
          <w:szCs w:val="20"/>
          <w:b w:val="1"/>
          <w:bCs w:val="1"/>
          <w:color w:val="181818"/>
        </w:rPr>
        <w:t xml:space="preserve"> </w:t>
      </w:r>
      <w:r>
        <w:rPr>
          <w:rFonts w:ascii="Calibri" w:cs="Calibri" w:eastAsia="Calibri" w:hAnsi="Calibri"/>
          <w:sz w:val="20"/>
          <w:szCs w:val="20"/>
          <w:color w:val="000000"/>
        </w:rPr>
        <w:t>a global mult-brand beauty and</w:t>
      </w:r>
      <w:r>
        <w:rPr>
          <w:rFonts w:ascii="Calibri" w:cs="Calibri" w:eastAsia="Calibri" w:hAnsi="Calibri"/>
          <w:sz w:val="20"/>
          <w:szCs w:val="20"/>
          <w:b w:val="1"/>
          <w:bCs w:val="1"/>
          <w:color w:val="181818"/>
        </w:rPr>
        <w:t xml:space="preserve"> </w:t>
      </w:r>
      <w:r>
        <w:rPr>
          <w:rFonts w:ascii="Calibri" w:cs="Calibri" w:eastAsia="Calibri" w:hAnsi="Calibri"/>
          <w:sz w:val="20"/>
          <w:szCs w:val="20"/>
          <w:color w:val="000000"/>
        </w:rPr>
        <w:t xml:space="preserve">wellness platorm, today reported operatng results </w:t>
      </w:r>
      <w:r>
        <w:rPr>
          <w:rFonts w:ascii="Calibri" w:cs="Calibri" w:eastAsia="Calibri" w:hAnsi="Calibri"/>
          <w:sz w:val="20"/>
          <w:szCs w:val="20"/>
          <w:color w:val="181818"/>
        </w:rPr>
        <w:t>for the</w:t>
      </w:r>
      <w:r>
        <w:rPr>
          <w:rFonts w:ascii="Calibri" w:cs="Calibri" w:eastAsia="Calibri" w:hAnsi="Calibri"/>
          <w:sz w:val="20"/>
          <w:szCs w:val="20"/>
          <w:color w:val="000000"/>
        </w:rPr>
        <w:t xml:space="preserve"> three months ended June 30, 2024 </w:t>
      </w:r>
      <w:r>
        <w:rPr>
          <w:rFonts w:ascii="Calibri" w:cs="Calibri" w:eastAsia="Calibri" w:hAnsi="Calibri"/>
          <w:sz w:val="20"/>
          <w:szCs w:val="20"/>
          <w:color w:val="181818"/>
        </w:rPr>
        <w:t>(“</w:t>
      </w:r>
      <w:r>
        <w:rPr>
          <w:rFonts w:ascii="Calibri" w:cs="Calibri" w:eastAsia="Calibri" w:hAnsi="Calibri"/>
          <w:sz w:val="20"/>
          <w:szCs w:val="20"/>
          <w:color w:val="000000"/>
        </w:rPr>
        <w:t>Q2 2024</w:t>
      </w:r>
      <w:r>
        <w:rPr>
          <w:rFonts w:ascii="Calibri" w:cs="Calibri" w:eastAsia="Calibri" w:hAnsi="Calibri"/>
          <w:sz w:val="20"/>
          <w:szCs w:val="20"/>
          <w:color w:val="181818"/>
        </w:rPr>
        <w:t>”) and</w:t>
      </w:r>
      <w:r>
        <w:rPr>
          <w:rFonts w:ascii="Calibri" w:cs="Calibri" w:eastAsia="Calibri" w:hAnsi="Calibri"/>
          <w:sz w:val="20"/>
          <w:szCs w:val="20"/>
          <w:color w:val="000000"/>
        </w:rPr>
        <w:t xml:space="preserve"> six months ended June</w:t>
      </w:r>
    </w:p>
    <w:p>
      <w:pPr>
        <w:spacing w:after="0" w:line="50"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20"/>
          <w:szCs w:val="20"/>
          <w:color w:val="auto"/>
        </w:rPr>
        <w:t>30, 2024 ("H1 2024") on Form 6-K to the U.S. Securites and Exchange Commission, which are also available on the Company's investor relatons site at htp://ir.waldencast.com/.</w:t>
      </w:r>
    </w:p>
    <w:p>
      <w:pPr>
        <w:spacing w:after="0" w:line="211" w:lineRule="exact"/>
        <w:rPr>
          <w:sz w:val="20"/>
          <w:szCs w:val="20"/>
          <w:color w:val="auto"/>
        </w:rPr>
      </w:pPr>
    </w:p>
    <w:p>
      <w:pPr>
        <w:jc w:val="both"/>
        <w:spacing w:after="0" w:line="218" w:lineRule="auto"/>
        <w:rPr>
          <w:sz w:val="20"/>
          <w:szCs w:val="20"/>
          <w:color w:val="auto"/>
        </w:rPr>
      </w:pPr>
      <w:r>
        <w:rPr>
          <w:rFonts w:ascii="Calibri" w:cs="Calibri" w:eastAsia="Calibri" w:hAnsi="Calibri"/>
          <w:sz w:val="20"/>
          <w:szCs w:val="20"/>
          <w:color w:val="212529"/>
        </w:rPr>
        <w:t>Michel Brousset, Waldencast Founder and CEO, said: "</w:t>
      </w:r>
      <w:r>
        <w:rPr>
          <w:rFonts w:ascii="Calibri" w:cs="Calibri" w:eastAsia="Calibri" w:hAnsi="Calibri"/>
          <w:sz w:val="20"/>
          <w:szCs w:val="20"/>
          <w:color w:val="000000"/>
        </w:rPr>
        <w:t>We are pleased to report a net revenue Comparable Growth increase of 25.7% in</w:t>
      </w:r>
      <w:r>
        <w:rPr>
          <w:rFonts w:ascii="Calibri" w:cs="Calibri" w:eastAsia="Calibri" w:hAnsi="Calibri"/>
          <w:sz w:val="20"/>
          <w:szCs w:val="20"/>
          <w:color w:val="212529"/>
        </w:rPr>
        <w:t xml:space="preserve"> </w:t>
      </w:r>
      <w:r>
        <w:rPr>
          <w:rFonts w:ascii="Calibri" w:cs="Calibri" w:eastAsia="Calibri" w:hAnsi="Calibri"/>
          <w:sz w:val="20"/>
          <w:szCs w:val="20"/>
          <w:color w:val="000000"/>
        </w:rPr>
        <w:t>Q2 2024, further acceleratng the growth of 21% delivered in Q1 2024. Following this frst strong half, and with various growth drivers planned for the second half, we are even more confdent in our ability to deliver our FY 2024 outlook with net revenue Comparable Growth above the rate achieved in Q2 2024. Consequently, we expect Adjusted EBITDA for H2 2024 to exceed that of H1 2024, both in absolute value and margin, and we contnue to expect to achieve a mid-teens Adjusted EBITDA Margin for the full year. Milk Makeup and Obagi Medical brands contnue to grow well ahead of the markets in which they operate and are stll far from achieving their full potental. As a young Company, we had to work extremely hard to address the challenges faced in 2022 and in the transiton year of 2023. We are now focused on stepping up the investment in our brands and the development of our communites. This combinaton of strong community engagement and compelling high-performance products will contnue to drive increasing demand for our brands around the world. We delivered multple blockbuster innovatons in H1 2024 and feel excited about what is coming in H2 2024 and beyond. I’m always thankful to the contnuous support of our consumers, investors, partners, employees and everyone who shares our dream of building a global best-in-class beauty and wellness operatng platorm.”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212529"/>
        </w:rPr>
        <w:t>Brand Update</w:t>
      </w:r>
    </w:p>
    <w:p>
      <w:pPr>
        <w:spacing w:after="0" w:line="306" w:lineRule="exact"/>
        <w:rPr>
          <w:sz w:val="20"/>
          <w:szCs w:val="20"/>
          <w:color w:val="auto"/>
        </w:rPr>
      </w:pPr>
    </w:p>
    <w:p>
      <w:pPr>
        <w:jc w:val="both"/>
        <w:spacing w:after="0" w:line="220" w:lineRule="auto"/>
        <w:rPr>
          <w:sz w:val="20"/>
          <w:szCs w:val="20"/>
          <w:color w:val="auto"/>
        </w:rPr>
      </w:pPr>
      <w:r>
        <w:rPr>
          <w:rFonts w:ascii="Calibri" w:cs="Calibri" w:eastAsia="Calibri" w:hAnsi="Calibri"/>
          <w:sz w:val="20"/>
          <w:szCs w:val="20"/>
          <w:color w:val="auto"/>
        </w:rPr>
        <w:t>We are more excited than ever about our business and our brands' growth prospects. We believe that we have two powerful, high-growth, compelling brands perfectly positoned in the most atractve segments of the beauty business. In H1 2024, both brands successfully grew their communites, with Milk Makeup growing Earned Media Value (EMV)</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by +100% year over year and climbing 7 ranks from 2023, whilst Obagi Medical grew EMV +165% year over year, demonstratng one of the fastest growth rates in EMV for beauty brands in the US.</w:t>
      </w:r>
    </w:p>
    <w:p>
      <w:pPr>
        <w:spacing w:after="0" w:line="256"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Both brands also delivered blockbuster innovaton in the frst half with Milk Makeup's 8 tmes award winning, twice-sold out Viral Cooling Jelly Tint and Obagi Medical's Daily Hydro-Drops® Rejuvenatng Eye Gel Cream, which sold out in less than 72 hours.</w:t>
      </w:r>
    </w:p>
    <w:p>
      <w:pPr>
        <w:spacing w:after="0" w:line="239"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This combinaton of strong community engagement and compelling high-performance products is driving increased global demand for our brands. Coupled with the power of our Waldencast platorm and talented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Calibri" w:cs="Calibri" w:eastAsia="Calibri" w:hAnsi="Calibri"/>
          <w:sz w:val="14"/>
          <w:szCs w:val="14"/>
          <w:color w:val="auto"/>
          <w:vertAlign w:val="superscript"/>
        </w:rPr>
        <w:t>1</w:t>
      </w:r>
      <w:r>
        <w:rPr>
          <w:rFonts w:ascii="Calibri" w:cs="Calibri" w:eastAsia="Calibri" w:hAnsi="Calibri"/>
          <w:sz w:val="11"/>
          <w:szCs w:val="11"/>
          <w:color w:val="auto"/>
        </w:rPr>
        <w:t>Earned Media Value (EMV) is a Tribe Dynamics proprietary metric for measuring the performance of digital earned media. Management Data as of H1 2024.</w:t>
      </w:r>
    </w:p>
    <w:p>
      <w:pPr>
        <w:sectPr>
          <w:pgSz w:w="11900" w:h="16838" w:orient="portrait"/>
          <w:cols w:equalWidth="0" w:num="1">
            <w:col w:w="11240"/>
          </w:cols>
          <w:pgMar w:left="320" w:top="929" w:right="339" w:bottom="1440" w:gutter="0" w:footer="0" w:header="0"/>
        </w:sectPr>
      </w:pPr>
    </w:p>
    <w:bookmarkStart w:id="4" w:name="page5"/>
    <w:bookmarkEnd w:id="4"/>
    <w:p>
      <w:pPr>
        <w:jc w:val="both"/>
        <w:spacing w:after="0" w:line="231" w:lineRule="auto"/>
        <w:rPr>
          <w:sz w:val="20"/>
          <w:szCs w:val="20"/>
          <w:color w:val="auto"/>
        </w:rPr>
      </w:pPr>
      <w:r>
        <w:rPr>
          <w:rFonts w:ascii="Calibri" w:cs="Calibri" w:eastAsia="Calibri" w:hAnsi="Calibri"/>
          <w:sz w:val="20"/>
          <w:szCs w:val="20"/>
          <w:color w:val="auto"/>
        </w:rPr>
        <w:t>teams, we believe we are well positoned to drive long term proftable growth as we build long-lastng iconic beauty brands and increase operatonal efciencies. As we look forward to H2 2024, both brands are poised to contnue to scale their communites in the U.S. and internatonally as well as to launch further excitng innovatons.</w:t>
      </w:r>
    </w:p>
    <w:p>
      <w:pPr>
        <w:spacing w:after="0" w:line="254"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Milk Makeup launches build into high replenishment categories with Kush Eye Roller Mascara and Brow Tints, shade extensions of Odyssey Lip Oil Gloss, and the much antcipated launch of Hydro Grip + Glow Primer. This unique product is aimed at recruitng new consumers and builds on the buzz around the cult Hydro Grip franchise by showcasing a new incremental beneft while re-afrming its unparalleled hold and unique formula.</w:t>
      </w:r>
    </w:p>
    <w:p>
      <w:pPr>
        <w:spacing w:after="0" w:line="240" w:lineRule="exact"/>
        <w:rPr>
          <w:sz w:val="20"/>
          <w:szCs w:val="20"/>
          <w:color w:val="auto"/>
        </w:rPr>
      </w:pPr>
    </w:p>
    <w:p>
      <w:pPr>
        <w:jc w:val="both"/>
        <w:spacing w:after="0" w:line="212" w:lineRule="auto"/>
        <w:rPr>
          <w:sz w:val="20"/>
          <w:szCs w:val="20"/>
          <w:color w:val="auto"/>
        </w:rPr>
      </w:pPr>
      <w:r>
        <w:rPr>
          <w:rFonts w:ascii="Calibri" w:cs="Calibri" w:eastAsia="Calibri" w:hAnsi="Calibri"/>
          <w:sz w:val="20"/>
          <w:szCs w:val="20"/>
          <w:color w:val="auto"/>
        </w:rPr>
        <w:t>Obagi Medical will be launching two of our most excitng innovatons so far, bringing medical grade lifing power to new heights with two strong line extensions of our bestselling ELASTIderm® franchise, startng with ELASTIderm® Lif Up &amp; Sculpt Facial Moisturizer, clinically proven to visibly lif and sculpt facial contours in only 6 weeks</w:t>
      </w:r>
      <w:r>
        <w:rPr>
          <w:rFonts w:ascii="Calibri" w:cs="Calibri" w:eastAsia="Calibri" w:hAnsi="Calibri"/>
          <w:sz w:val="25"/>
          <w:szCs w:val="25"/>
          <w:color w:val="auto"/>
          <w:vertAlign w:val="superscript"/>
        </w:rPr>
        <w:t>2</w:t>
      </w:r>
      <w:r>
        <w:rPr>
          <w:rFonts w:ascii="Calibri" w:cs="Calibri" w:eastAsia="Calibri" w:hAnsi="Calibri"/>
          <w:sz w:val="20"/>
          <w:szCs w:val="20"/>
          <w:color w:val="auto"/>
        </w:rPr>
        <w:t>. This launch will be complemented with ELASTIderm® Advanced Filler Concentrate, a targeted treatment clinically proven to visibly reduce the appearance of fne lines with a single applicaton</w:t>
      </w:r>
      <w:r>
        <w:rPr>
          <w:rFonts w:ascii="Calibri" w:cs="Calibri" w:eastAsia="Calibri" w:hAnsi="Calibri"/>
          <w:sz w:val="25"/>
          <w:szCs w:val="25"/>
          <w:color w:val="auto"/>
          <w:vertAlign w:val="superscript"/>
        </w:rPr>
        <w:t>2</w:t>
      </w:r>
      <w:r>
        <w:rPr>
          <w:rFonts w:ascii="Calibri" w:cs="Calibri" w:eastAsia="Calibri" w:hAnsi="Calibri"/>
          <w:sz w:val="20"/>
          <w:szCs w:val="20"/>
          <w:color w:val="auto"/>
        </w:rPr>
        <w:t>. The Advanced Filler Concentrate is a non-injectable instant fne line fller, with impressive clinical results afer a single applicaton and further improvement afer 8 weeks showing a 19% reducton in the appearance of fne lines and forehead lines</w:t>
      </w:r>
      <w:r>
        <w:rPr>
          <w:rFonts w:ascii="Calibri" w:cs="Calibri" w:eastAsia="Calibri" w:hAnsi="Calibri"/>
          <w:sz w:val="25"/>
          <w:szCs w:val="25"/>
          <w:color w:val="auto"/>
          <w:vertAlign w:val="superscript"/>
        </w:rPr>
        <w:t>2</w:t>
      </w:r>
      <w:r>
        <w:rPr>
          <w:rFonts w:ascii="Calibri" w:cs="Calibri" w:eastAsia="Calibri" w:hAnsi="Calibri"/>
          <w:sz w:val="20"/>
          <w:szCs w:val="20"/>
          <w:color w:val="auto"/>
        </w:rPr>
        <w:t>. These innovatons are intended not only to strengthen our ant-ageing portolio in two of the top three skin concerns treated by physicians (fne lines &amp; wrinkles and sagging skin &amp; loss of elastcity), but also to strengthen our dermatological skincare and physician dispensed brand DNA and penetraton.</w:t>
      </w:r>
    </w:p>
    <w:p>
      <w:pPr>
        <w:spacing w:after="0" w:line="245"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212529"/>
        </w:rPr>
        <w:t>Q2 2024 Results Overview &amp; FY 2024 Outlook</w:t>
      </w:r>
    </w:p>
    <w:p>
      <w:pPr>
        <w:spacing w:after="0" w:line="300"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i w:val="1"/>
          <w:iCs w:val="1"/>
          <w:color w:val="181818"/>
        </w:rPr>
        <w:t>Please refer to the defnitons and reconciliatons set out further in this release with respect to certain adjusted non-GAAP measures discussed below which are included to provide an easier understanding of the underlying performance of the business but should not be seen as a substtute for the U.S. GAAP numbers presented in this release.</w:t>
      </w:r>
    </w:p>
    <w:p>
      <w:pPr>
        <w:spacing w:after="0" w:line="227"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b w:val="1"/>
          <w:bCs w:val="1"/>
          <w:color w:val="212529"/>
        </w:rPr>
        <w:t xml:space="preserve">Net Revenue and Comparable Growth: </w:t>
      </w:r>
      <w:r>
        <w:rPr>
          <w:rFonts w:ascii="Calibri" w:cs="Calibri" w:eastAsia="Calibri" w:hAnsi="Calibri"/>
          <w:sz w:val="20"/>
          <w:szCs w:val="20"/>
          <w:color w:val="212529"/>
        </w:rPr>
        <w:t>Net Revenue for Q2 2024 was $63.3 million, compared to Net Revenue of $49.4 million in Q2</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 xml:space="preserve">2023, a growth of </w:t>
      </w:r>
      <w:r>
        <w:rPr>
          <w:rFonts w:ascii="Calibri" w:cs="Calibri" w:eastAsia="Calibri" w:hAnsi="Calibri"/>
          <w:sz w:val="20"/>
          <w:szCs w:val="20"/>
          <w:color w:val="000000"/>
        </w:rPr>
        <w:t>28.2% on a Net Revenue basis</w:t>
      </w:r>
      <w:r>
        <w:rPr>
          <w:rFonts w:ascii="Calibri" w:cs="Calibri" w:eastAsia="Calibri" w:hAnsi="Calibri"/>
          <w:sz w:val="20"/>
          <w:szCs w:val="20"/>
          <w:color w:val="212529"/>
        </w:rPr>
        <w:t xml:space="preserve"> and a </w:t>
      </w:r>
      <w:r>
        <w:rPr>
          <w:rFonts w:ascii="Calibri" w:cs="Calibri" w:eastAsia="Calibri" w:hAnsi="Calibri"/>
          <w:sz w:val="20"/>
          <w:szCs w:val="20"/>
          <w:color w:val="000000"/>
        </w:rPr>
        <w:t>25.7%</w:t>
      </w:r>
      <w:r>
        <w:rPr>
          <w:rFonts w:ascii="Calibri" w:cs="Calibri" w:eastAsia="Calibri" w:hAnsi="Calibri"/>
          <w:sz w:val="20"/>
          <w:szCs w:val="20"/>
          <w:color w:val="212529"/>
        </w:rPr>
        <w:t xml:space="preserve"> increase in Comparable Growth, afer adjustng for product sales to the former Obagi Medical China Business. Obagi Medical saw accelerated growth in Q2 2024 driven by growth in higher margin e-commerce sales. Milk Makeup saw contnued strong growth in internatonal markets during Q2 2024, whilst the U.S. market was impacted by out of stocks, partcularly in the successful Cooling Water Jelly Tints, which was materially improved towards the end of the quarter. The growth of both brands was signifcantly impacted by out of stocks in some of our key products as demand outstripped our forecasts.</w:t>
      </w:r>
    </w:p>
    <w:p>
      <w:pPr>
        <w:spacing w:after="0" w:line="225" w:lineRule="exact"/>
        <w:rPr>
          <w:sz w:val="20"/>
          <w:szCs w:val="20"/>
          <w:color w:val="auto"/>
        </w:rPr>
      </w:pPr>
    </w:p>
    <w:p>
      <w:pPr>
        <w:jc w:val="both"/>
        <w:spacing w:after="0" w:line="221" w:lineRule="auto"/>
        <w:rPr>
          <w:sz w:val="20"/>
          <w:szCs w:val="20"/>
          <w:color w:val="auto"/>
        </w:rPr>
      </w:pPr>
      <w:r>
        <w:rPr>
          <w:rFonts w:ascii="Calibri" w:cs="Calibri" w:eastAsia="Calibri" w:hAnsi="Calibri"/>
          <w:sz w:val="20"/>
          <w:szCs w:val="20"/>
          <w:b w:val="1"/>
          <w:bCs w:val="1"/>
          <w:color w:val="212529"/>
        </w:rPr>
        <w:t xml:space="preserve">Gross Proft and Adjusted Gross Proft: </w:t>
      </w:r>
      <w:r>
        <w:rPr>
          <w:rFonts w:ascii="Calibri" w:cs="Calibri" w:eastAsia="Calibri" w:hAnsi="Calibri"/>
          <w:sz w:val="20"/>
          <w:szCs w:val="20"/>
          <w:color w:val="212529"/>
        </w:rPr>
        <w:t>Gross Proft for Q2 2024 was $44.6 million, compared to Gross Proft of $31.2 million in Q2 2023.</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Afer adjustng for the amortzaton of intangibles and a non-recurring write-of of products related to discontnued business, the Adjusted Gross Proft for Q2 2024 was $47.5 million, or 75.0% of Net Revenue, resultng in a margin improvement of 650 basis points compared to Q2 2023 Adjusted Gross Proft of $33.8 million, or 68.5% of Net Revenue. The Adjusted Gross Proft Margin improved due to growth in higher-margin e-commerce sales, reduced of-price sales, and lower inventory write-ofs.</w:t>
      </w:r>
    </w:p>
    <w:p>
      <w:pPr>
        <w:spacing w:after="0" w:line="253"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b w:val="1"/>
          <w:bCs w:val="1"/>
          <w:color w:val="212529"/>
        </w:rPr>
        <w:t xml:space="preserve">Net Loss </w:t>
      </w:r>
      <w:r>
        <w:rPr>
          <w:rFonts w:ascii="Calibri" w:cs="Calibri" w:eastAsia="Calibri" w:hAnsi="Calibri"/>
          <w:sz w:val="20"/>
          <w:szCs w:val="20"/>
          <w:color w:val="212529"/>
        </w:rPr>
        <w:t>for Q2 2024 was $9.0 million, compared to a Net Loss of $23.5 million in Q2 2023. Net loss improved primarily due to income</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related to the fair value adjustment for warrants.</w:t>
      </w:r>
    </w:p>
    <w:p>
      <w:pPr>
        <w:spacing w:after="0" w:line="252" w:lineRule="exact"/>
        <w:rPr>
          <w:sz w:val="20"/>
          <w:szCs w:val="20"/>
          <w:color w:val="auto"/>
        </w:rPr>
      </w:pPr>
    </w:p>
    <w:p>
      <w:pPr>
        <w:jc w:val="both"/>
        <w:spacing w:after="0" w:line="228" w:lineRule="auto"/>
        <w:rPr>
          <w:sz w:val="20"/>
          <w:szCs w:val="20"/>
          <w:color w:val="auto"/>
        </w:rPr>
      </w:pPr>
      <w:r>
        <w:rPr>
          <w:rFonts w:ascii="Calibri" w:cs="Calibri" w:eastAsia="Calibri" w:hAnsi="Calibri"/>
          <w:sz w:val="20"/>
          <w:szCs w:val="20"/>
          <w:b w:val="1"/>
          <w:bCs w:val="1"/>
          <w:color w:val="212529"/>
        </w:rPr>
        <w:t xml:space="preserve">Adjusted EBITDA </w:t>
      </w:r>
      <w:r>
        <w:rPr>
          <w:rFonts w:ascii="Calibri" w:cs="Calibri" w:eastAsia="Calibri" w:hAnsi="Calibri"/>
          <w:sz w:val="20"/>
          <w:szCs w:val="20"/>
          <w:color w:val="212529"/>
        </w:rPr>
        <w:t>for Q2 2024 was $6.3 million, or a</w:t>
      </w:r>
      <w:r>
        <w:rPr>
          <w:rFonts w:ascii="Calibri" w:cs="Calibri" w:eastAsia="Calibri" w:hAnsi="Calibri"/>
          <w:sz w:val="20"/>
          <w:szCs w:val="20"/>
          <w:b w:val="1"/>
          <w:bCs w:val="1"/>
          <w:color w:val="212529"/>
        </w:rPr>
        <w:t xml:space="preserve"> </w:t>
      </w:r>
      <w:r>
        <w:rPr>
          <w:rFonts w:ascii="Calibri" w:cs="Calibri" w:eastAsia="Calibri" w:hAnsi="Calibri"/>
          <w:sz w:val="20"/>
          <w:szCs w:val="20"/>
          <w:color w:val="000000"/>
        </w:rPr>
        <w:t>10.0%</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Adjusted EBITDA Margin, compared with a Q2 2023 Adjusted EBITDA of $3.9</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 xml:space="preserve">million, or a </w:t>
      </w:r>
      <w:r>
        <w:rPr>
          <w:rFonts w:ascii="Calibri" w:cs="Calibri" w:eastAsia="Calibri" w:hAnsi="Calibri"/>
          <w:sz w:val="20"/>
          <w:szCs w:val="20"/>
          <w:color w:val="000000"/>
        </w:rPr>
        <w:t>7.8%</w:t>
      </w:r>
      <w:r>
        <w:rPr>
          <w:rFonts w:ascii="Calibri" w:cs="Calibri" w:eastAsia="Calibri" w:hAnsi="Calibri"/>
          <w:sz w:val="20"/>
          <w:szCs w:val="20"/>
          <w:color w:val="212529"/>
        </w:rPr>
        <w:t xml:space="preserve"> Adjusted EBITDA Margin. The Group contnued in Q2 2024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3" w:lineRule="exact"/>
        <w:rPr>
          <w:sz w:val="20"/>
          <w:szCs w:val="20"/>
          <w:color w:val="auto"/>
        </w:rPr>
      </w:pPr>
    </w:p>
    <w:p>
      <w:pPr>
        <w:ind w:left="60" w:hanging="52"/>
        <w:spacing w:after="0"/>
        <w:tabs>
          <w:tab w:leader="none" w:pos="60" w:val="left"/>
        </w:tabs>
        <w:numPr>
          <w:ilvl w:val="0"/>
          <w:numId w:val="2"/>
        </w:numPr>
        <w:rPr>
          <w:rFonts w:ascii="Calibri" w:cs="Calibri" w:eastAsia="Calibri" w:hAnsi="Calibri"/>
          <w:sz w:val="14"/>
          <w:szCs w:val="14"/>
          <w:color w:val="auto"/>
          <w:vertAlign w:val="superscript"/>
        </w:rPr>
      </w:pPr>
      <w:r>
        <w:rPr>
          <w:rFonts w:ascii="Calibri" w:cs="Calibri" w:eastAsia="Calibri" w:hAnsi="Calibri"/>
          <w:sz w:val="11"/>
          <w:szCs w:val="11"/>
          <w:color w:val="auto"/>
        </w:rPr>
        <w:t>Results based on a 2024 clinical test. Data on fle at Obagi Cosmeceutcals LLC.</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925" w:right="339" w:bottom="1440" w:gutter="0" w:footer="0" w:header="0"/>
        </w:sectPr>
      </w:pPr>
    </w:p>
    <w:bookmarkStart w:id="5" w:name="page6"/>
    <w:bookmarkEnd w:id="5"/>
    <w:p>
      <w:pPr>
        <w:jc w:val="both"/>
        <w:spacing w:after="0" w:line="234" w:lineRule="auto"/>
        <w:rPr>
          <w:sz w:val="20"/>
          <w:szCs w:val="20"/>
          <w:color w:val="auto"/>
        </w:rPr>
      </w:pPr>
      <w:r>
        <w:rPr>
          <w:rFonts w:ascii="Calibri" w:cs="Calibri" w:eastAsia="Calibri" w:hAnsi="Calibri"/>
          <w:sz w:val="20"/>
          <w:szCs w:val="20"/>
          <w:color w:val="212529"/>
        </w:rPr>
        <w:t>more proftable distributon channels and create operatonal efciencies, whilst increasing employee related compensaton and marketng investments in the period.</w:t>
      </w:r>
    </w:p>
    <w:p>
      <w:pPr>
        <w:spacing w:after="0" w:line="212"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b w:val="1"/>
          <w:bCs w:val="1"/>
          <w:color w:val="212529"/>
        </w:rPr>
        <w:t xml:space="preserve">Liquidity: </w:t>
      </w:r>
      <w:r>
        <w:rPr>
          <w:rFonts w:ascii="Calibri" w:cs="Calibri" w:eastAsia="Calibri" w:hAnsi="Calibri"/>
          <w:sz w:val="20"/>
          <w:szCs w:val="20"/>
          <w:color w:val="212529"/>
        </w:rPr>
        <w:t>The business had a strong cash conversion during H1 2024, although the Company contnues to incur non-recurring costs</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associated with legal and advisory fees. As of June 30, 2024, the Group had $19.7 million in cash and cash equivalents and $155.0 million of Net Debt. In additon, $30 million remains undrawn on the Company's revolving credit facility of $45 million as of June 30, 2024.</w:t>
      </w:r>
    </w:p>
    <w:p>
      <w:pPr>
        <w:spacing w:after="0" w:line="227"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b w:val="1"/>
          <w:bCs w:val="1"/>
          <w:color w:val="212529"/>
        </w:rPr>
        <w:t>Outstanding Shares</w:t>
      </w:r>
      <w:r>
        <w:rPr>
          <w:rFonts w:ascii="Calibri" w:cs="Calibri" w:eastAsia="Calibri" w:hAnsi="Calibri"/>
          <w:sz w:val="20"/>
          <w:szCs w:val="20"/>
          <w:color w:val="212529"/>
        </w:rPr>
        <w:t>: As of August 15, 2024, the Company had 122,662,281 ordinary shares outstanding, consistng of 110,608,950 Class</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A ordinary shares outstanding and 12,053,331 Class B ordinary shares outstanding. As of December 31, 2023, the Company had 122,076,410 ordinary shares outstanding, consistng of 101,228,857 Class A ordinary shares outstanding and 20,847,553 Class B ordinary shares outstanding. Fully Diluted Shares decreased from 129,695,296 at December 31, 2023 to 126,820,174 as of August 15, 2024, primarily driven by forfeitures of unvested shares and lower in-the-money dilutve instruments. As of August 15, 2024, 52,683,779, or 43%, Class A ordinary shares remain subject to contractual lock-up arrangements entered into in connecton with the September 2023 private placement, of which (i) 31,205,649 are locked untl September 14, 2024 and (ii) 21,478,130 are locked untl November 8, 2024.</w:t>
      </w:r>
    </w:p>
    <w:p>
      <w:pPr>
        <w:spacing w:after="0" w:line="217"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b w:val="1"/>
          <w:bCs w:val="1"/>
          <w:color w:val="212529"/>
        </w:rPr>
        <w:t xml:space="preserve">Fiscal 2024 Outlook: </w:t>
      </w:r>
      <w:r>
        <w:rPr>
          <w:rFonts w:ascii="Calibri" w:cs="Calibri" w:eastAsia="Calibri" w:hAnsi="Calibri"/>
          <w:sz w:val="20"/>
          <w:szCs w:val="20"/>
          <w:color w:val="000000"/>
        </w:rPr>
        <w:t>We expect to further accelerate H2 2024 net revenue Comparable Growth above the rate achieved in Q2 2024. We</w:t>
      </w:r>
      <w:r>
        <w:rPr>
          <w:rFonts w:ascii="Calibri" w:cs="Calibri" w:eastAsia="Calibri" w:hAnsi="Calibri"/>
          <w:sz w:val="20"/>
          <w:szCs w:val="20"/>
          <w:b w:val="1"/>
          <w:bCs w:val="1"/>
          <w:color w:val="212529"/>
        </w:rPr>
        <w:t xml:space="preserve"> </w:t>
      </w:r>
      <w:r>
        <w:rPr>
          <w:rFonts w:ascii="Calibri" w:cs="Calibri" w:eastAsia="Calibri" w:hAnsi="Calibri"/>
          <w:sz w:val="20"/>
          <w:szCs w:val="20"/>
          <w:color w:val="000000"/>
        </w:rPr>
        <w:t>expect Adjusted EBITDA for H2 2024 to exceed that of H1 2024, both in absolute value and margin, and we contnue to expect to achieve a mid-teens Adjusted EBITDA Margin for the full year.</w:t>
      </w:r>
    </w:p>
    <w:p>
      <w:pPr>
        <w:spacing w:after="0" w:line="29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12529"/>
        </w:rPr>
        <w:t>Q2 2024 Highlights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vMerge w:val="restart"/>
          </w:tcPr>
          <w:p>
            <w:pPr>
              <w:jc w:val="center"/>
              <w:ind w:right="100"/>
              <w:spacing w:after="0"/>
              <w:rPr>
                <w:sz w:val="20"/>
                <w:szCs w:val="20"/>
                <w:color w:val="auto"/>
              </w:rPr>
            </w:pPr>
            <w:r>
              <w:rPr>
                <w:rFonts w:ascii="Calibri" w:cs="Calibri" w:eastAsia="Calibri" w:hAnsi="Calibri"/>
                <w:sz w:val="20"/>
                <w:szCs w:val="20"/>
                <w:b w:val="1"/>
                <w:bCs w:val="1"/>
                <w:color w:val="auto"/>
                <w:w w:val="98"/>
              </w:rPr>
              <w:t>Q2 2024</w:t>
            </w:r>
          </w:p>
        </w:tc>
        <w:tc>
          <w:tcPr>
            <w:tcW w:w="1320" w:type="dxa"/>
            <w:vAlign w:val="bottom"/>
            <w:gridSpan w:val="2"/>
            <w:vMerge w:val="restart"/>
          </w:tcPr>
          <w:p>
            <w:pPr>
              <w:ind w:left="300"/>
              <w:spacing w:after="0"/>
              <w:rPr>
                <w:sz w:val="20"/>
                <w:szCs w:val="20"/>
                <w:color w:val="auto"/>
              </w:rPr>
            </w:pPr>
            <w:r>
              <w:rPr>
                <w:rFonts w:ascii="Calibri" w:cs="Calibri" w:eastAsia="Calibri" w:hAnsi="Calibri"/>
                <w:sz w:val="20"/>
                <w:szCs w:val="20"/>
                <w:b w:val="1"/>
                <w:bCs w:val="1"/>
                <w:color w:val="auto"/>
              </w:rPr>
              <w:t>% Sales</w:t>
            </w:r>
          </w:p>
        </w:tc>
        <w:tc>
          <w:tcPr>
            <w:tcW w:w="1340" w:type="dxa"/>
            <w:vAlign w:val="bottom"/>
            <w:gridSpan w:val="2"/>
            <w:vMerge w:val="restart"/>
          </w:tcPr>
          <w:p>
            <w:pPr>
              <w:jc w:val="center"/>
              <w:ind w:right="100"/>
              <w:spacing w:after="0"/>
              <w:rPr>
                <w:sz w:val="20"/>
                <w:szCs w:val="20"/>
                <w:color w:val="auto"/>
              </w:rPr>
            </w:pPr>
            <w:r>
              <w:rPr>
                <w:rFonts w:ascii="Calibri" w:cs="Calibri" w:eastAsia="Calibri" w:hAnsi="Calibri"/>
                <w:sz w:val="20"/>
                <w:szCs w:val="20"/>
                <w:b w:val="1"/>
                <w:bCs w:val="1"/>
                <w:color w:val="auto"/>
              </w:rPr>
              <w:t>% Growth</w:t>
            </w:r>
          </w:p>
        </w:tc>
        <w:tc>
          <w:tcPr>
            <w:tcW w:w="1340" w:type="dxa"/>
            <w:vAlign w:val="bottom"/>
            <w:gridSpan w:val="2"/>
          </w:tcPr>
          <w:p>
            <w:pPr>
              <w:jc w:val="center"/>
              <w:ind w:right="140"/>
              <w:spacing w:after="0"/>
              <w:rPr>
                <w:sz w:val="20"/>
                <w:szCs w:val="20"/>
                <w:color w:val="auto"/>
              </w:rPr>
            </w:pPr>
            <w:r>
              <w:rPr>
                <w:rFonts w:ascii="Calibri" w:cs="Calibri" w:eastAsia="Calibri" w:hAnsi="Calibri"/>
                <w:sz w:val="20"/>
                <w:szCs w:val="20"/>
                <w:b w:val="1"/>
                <w:bCs w:val="1"/>
                <w:color w:val="auto"/>
              </w:rPr>
              <w:t>% Comp</w:t>
            </w:r>
          </w:p>
        </w:tc>
        <w:tc>
          <w:tcPr>
            <w:tcW w:w="60" w:type="dxa"/>
            <w:vAlign w:val="bottom"/>
          </w:tcPr>
          <w:p>
            <w:pPr>
              <w:spacing w:after="0"/>
              <w:rPr>
                <w:sz w:val="21"/>
                <w:szCs w:val="21"/>
                <w:color w:val="auto"/>
              </w:rPr>
            </w:pPr>
          </w:p>
        </w:tc>
        <w:tc>
          <w:tcPr>
            <w:tcW w:w="1340" w:type="dxa"/>
            <w:vAlign w:val="bottom"/>
            <w:gridSpan w:val="2"/>
            <w:vMerge w:val="restart"/>
          </w:tcPr>
          <w:p>
            <w:pPr>
              <w:jc w:val="center"/>
              <w:ind w:right="100"/>
              <w:spacing w:after="0"/>
              <w:rPr>
                <w:sz w:val="20"/>
                <w:szCs w:val="20"/>
                <w:color w:val="auto"/>
              </w:rPr>
            </w:pPr>
            <w:r>
              <w:rPr>
                <w:rFonts w:ascii="Calibri" w:cs="Calibri" w:eastAsia="Calibri" w:hAnsi="Calibri"/>
                <w:sz w:val="20"/>
                <w:szCs w:val="20"/>
                <w:b w:val="1"/>
                <w:bCs w:val="1"/>
                <w:color w:val="auto"/>
                <w:w w:val="98"/>
              </w:rPr>
              <w:t>Q2 2023</w:t>
            </w:r>
          </w:p>
        </w:tc>
        <w:tc>
          <w:tcPr>
            <w:tcW w:w="1220" w:type="dxa"/>
            <w:vAlign w:val="bottom"/>
            <w:vMerge w:val="restart"/>
          </w:tcPr>
          <w:p>
            <w:pPr>
              <w:ind w:left="300"/>
              <w:spacing w:after="0"/>
              <w:rPr>
                <w:sz w:val="20"/>
                <w:szCs w:val="20"/>
                <w:color w:val="auto"/>
              </w:rPr>
            </w:pPr>
            <w:r>
              <w:rPr>
                <w:rFonts w:ascii="Calibri" w:cs="Calibri" w:eastAsia="Calibri" w:hAnsi="Calibri"/>
                <w:sz w:val="20"/>
                <w:szCs w:val="20"/>
                <w:b w:val="1"/>
                <w:bCs w:val="1"/>
                <w:color w:val="auto"/>
              </w:rPr>
              <w:t>% Sales</w:t>
            </w:r>
          </w:p>
        </w:tc>
        <w:tc>
          <w:tcPr>
            <w:tcW w:w="0" w:type="dxa"/>
            <w:vAlign w:val="bottom"/>
          </w:tcPr>
          <w:p>
            <w:pPr>
              <w:spacing w:after="0"/>
              <w:rPr>
                <w:sz w:val="1"/>
                <w:szCs w:val="1"/>
                <w:color w:val="auto"/>
              </w:rPr>
            </w:pPr>
          </w:p>
        </w:tc>
      </w:tr>
      <w:tr>
        <w:trPr>
          <w:trHeight w:val="234"/>
        </w:trPr>
        <w:tc>
          <w:tcPr>
            <w:tcW w:w="3320" w:type="dxa"/>
            <w:vAlign w:val="bottom"/>
            <w:gridSpan w:val="2"/>
          </w:tcPr>
          <w:p>
            <w:pPr>
              <w:ind w:left="20"/>
              <w:spacing w:after="0"/>
              <w:rPr>
                <w:sz w:val="20"/>
                <w:szCs w:val="20"/>
                <w:color w:val="auto"/>
              </w:rPr>
            </w:pPr>
            <w:r>
              <w:rPr>
                <w:rFonts w:ascii="Calibri" w:cs="Calibri" w:eastAsia="Calibri" w:hAnsi="Calibri"/>
                <w:sz w:val="16"/>
                <w:szCs w:val="16"/>
                <w:i w:val="1"/>
                <w:iCs w:val="1"/>
                <w:color w:val="212529"/>
              </w:rPr>
              <w:t>(In millions, except for percentages)</w:t>
            </w:r>
          </w:p>
        </w:tc>
        <w:tc>
          <w:tcPr>
            <w:tcW w:w="130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340" w:type="dxa"/>
            <w:vAlign w:val="bottom"/>
            <w:gridSpan w:val="2"/>
          </w:tcPr>
          <w:p>
            <w:pPr>
              <w:jc w:val="center"/>
              <w:ind w:right="140"/>
              <w:spacing w:after="0" w:line="234" w:lineRule="exact"/>
              <w:rPr>
                <w:sz w:val="20"/>
                <w:szCs w:val="20"/>
                <w:color w:val="auto"/>
              </w:rPr>
            </w:pPr>
            <w:r>
              <w:rPr>
                <w:rFonts w:ascii="Calibri" w:cs="Calibri" w:eastAsia="Calibri" w:hAnsi="Calibri"/>
                <w:sz w:val="20"/>
                <w:szCs w:val="20"/>
                <w:b w:val="1"/>
                <w:bCs w:val="1"/>
                <w:color w:val="auto"/>
              </w:rPr>
              <w:t>Growth</w:t>
            </w:r>
          </w:p>
        </w:tc>
        <w:tc>
          <w:tcPr>
            <w:tcW w:w="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b w:val="1"/>
                <w:bCs w:val="1"/>
                <w:color w:val="auto"/>
              </w:rPr>
              <w:t>Waldencast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360"/>
              <w:spacing w:after="0" w:line="234" w:lineRule="exact"/>
              <w:rPr>
                <w:sz w:val="20"/>
                <w:szCs w:val="20"/>
                <w:color w:val="auto"/>
              </w:rPr>
            </w:pPr>
            <w:r>
              <w:rPr>
                <w:rFonts w:ascii="Calibri" w:cs="Calibri" w:eastAsia="Calibri" w:hAnsi="Calibri"/>
                <w:sz w:val="20"/>
                <w:szCs w:val="20"/>
                <w:color w:val="auto"/>
              </w:rPr>
              <w:t>Net Revenue</w:t>
            </w: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63.3</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100.0%</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28.2%</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25.7%</w:t>
            </w: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rPr>
              <w:t>49.4</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100.0%</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360"/>
              <w:spacing w:after="0" w:line="234" w:lineRule="exact"/>
              <w:rPr>
                <w:sz w:val="20"/>
                <w:szCs w:val="20"/>
                <w:color w:val="auto"/>
              </w:rPr>
            </w:pPr>
            <w:r>
              <w:rPr>
                <w:rFonts w:ascii="Calibri" w:cs="Calibri" w:eastAsia="Calibri" w:hAnsi="Calibri"/>
                <w:sz w:val="20"/>
                <w:szCs w:val="20"/>
                <w:color w:val="auto"/>
              </w:rPr>
              <w:t>Adjusted Gross Proft</w:t>
            </w: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47.5</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75.0%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68.5%</w:t>
            </w:r>
          </w:p>
        </w:tc>
        <w:tc>
          <w:tcPr>
            <w:tcW w:w="0" w:type="dxa"/>
            <w:vAlign w:val="bottom"/>
          </w:tcPr>
          <w:p>
            <w:pPr>
              <w:spacing w:after="0"/>
              <w:rPr>
                <w:sz w:val="1"/>
                <w:szCs w:val="1"/>
                <w:color w:val="auto"/>
              </w:rPr>
            </w:pPr>
          </w:p>
        </w:tc>
      </w:tr>
      <w:tr>
        <w:trPr>
          <w:trHeight w:val="234"/>
        </w:trPr>
        <w:tc>
          <w:tcPr>
            <w:tcW w:w="3320" w:type="dxa"/>
            <w:vAlign w:val="bottom"/>
            <w:gridSpan w:val="2"/>
          </w:tcPr>
          <w:p>
            <w:pPr>
              <w:ind w:left="360"/>
              <w:spacing w:after="0" w:line="234" w:lineRule="exact"/>
              <w:rPr>
                <w:sz w:val="20"/>
                <w:szCs w:val="20"/>
                <w:color w:val="auto"/>
              </w:rPr>
            </w:pPr>
            <w:r>
              <w:rPr>
                <w:rFonts w:ascii="Calibri" w:cs="Calibri" w:eastAsia="Calibri" w:hAnsi="Calibri"/>
                <w:sz w:val="20"/>
                <w:szCs w:val="20"/>
                <w:color w:val="auto"/>
              </w:rPr>
              <w:t>Adjusted EBITDA</w:t>
            </w: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6.3</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10.0%</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64.5%</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w w:val="94"/>
              </w:rPr>
              <w:t>3.9</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7.8%</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20"/>
              <w:spacing w:after="0" w:line="234" w:lineRule="exact"/>
              <w:rPr>
                <w:sz w:val="20"/>
                <w:szCs w:val="20"/>
                <w:color w:val="auto"/>
              </w:rPr>
            </w:pPr>
            <w:r>
              <w:rPr>
                <w:rFonts w:ascii="Calibri" w:cs="Calibri" w:eastAsia="Calibri" w:hAnsi="Calibri"/>
                <w:sz w:val="20"/>
                <w:szCs w:val="20"/>
                <w:b w:val="1"/>
                <w:bCs w:val="1"/>
                <w:color w:val="auto"/>
              </w:rPr>
              <w:t>Obagi Medical</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tcBorders>
              <w:bottom w:val="single" w:sz="8" w:color="CCEEFF"/>
            </w:tcBorders>
            <w:gridSpan w:val="2"/>
            <w:shd w:val="clear" w:color="auto" w:fill="CCEEFF"/>
          </w:tcPr>
          <w:p>
            <w:pPr>
              <w:ind w:left="360"/>
              <w:spacing w:after="0" w:line="234" w:lineRule="exact"/>
              <w:rPr>
                <w:sz w:val="20"/>
                <w:szCs w:val="20"/>
                <w:color w:val="auto"/>
              </w:rPr>
            </w:pPr>
            <w:r>
              <w:rPr>
                <w:rFonts w:ascii="Calibri" w:cs="Calibri" w:eastAsia="Calibri" w:hAnsi="Calibri"/>
                <w:sz w:val="20"/>
                <w:szCs w:val="20"/>
                <w:color w:val="auto"/>
              </w:rPr>
              <w:t>Net Revenue</w:t>
            </w: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34.6</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35.9%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30.9%</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100.0%</w:t>
            </w:r>
          </w:p>
        </w:tc>
        <w:tc>
          <w:tcPr>
            <w:tcW w:w="0" w:type="dxa"/>
            <w:vAlign w:val="bottom"/>
          </w:tcPr>
          <w:p>
            <w:pPr>
              <w:spacing w:after="0"/>
              <w:rPr>
                <w:sz w:val="1"/>
                <w:szCs w:val="1"/>
                <w:color w:val="auto"/>
              </w:rPr>
            </w:pPr>
          </w:p>
        </w:tc>
      </w:tr>
      <w:tr>
        <w:trPr>
          <w:trHeight w:val="234"/>
        </w:trPr>
        <w:tc>
          <w:tcPr>
            <w:tcW w:w="3320" w:type="dxa"/>
            <w:vAlign w:val="bottom"/>
            <w:gridSpan w:val="2"/>
          </w:tcPr>
          <w:p>
            <w:pPr>
              <w:ind w:left="360"/>
              <w:spacing w:after="0" w:line="234" w:lineRule="exact"/>
              <w:rPr>
                <w:sz w:val="20"/>
                <w:szCs w:val="20"/>
                <w:color w:val="auto"/>
              </w:rPr>
            </w:pPr>
            <w:r>
              <w:rPr>
                <w:rFonts w:ascii="Calibri" w:cs="Calibri" w:eastAsia="Calibri" w:hAnsi="Calibri"/>
                <w:sz w:val="20"/>
                <w:szCs w:val="20"/>
                <w:color w:val="auto"/>
              </w:rPr>
              <w:t>Adjusted Gross Proft</w:t>
            </w: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27.4</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79.3%</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52.3%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rPr>
              <w:t>18.0</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70.8%</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360"/>
              <w:spacing w:after="0" w:line="234" w:lineRule="exact"/>
              <w:rPr>
                <w:sz w:val="20"/>
                <w:szCs w:val="20"/>
                <w:color w:val="auto"/>
              </w:rPr>
            </w:pPr>
            <w:r>
              <w:rPr>
                <w:rFonts w:ascii="Calibri" w:cs="Calibri" w:eastAsia="Calibri" w:hAnsi="Calibri"/>
                <w:sz w:val="20"/>
                <w:szCs w:val="20"/>
                <w:color w:val="auto"/>
              </w:rPr>
              <w:t>Adjusted EBITDA</w:t>
            </w: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w w:val="94"/>
              </w:rPr>
              <w:t>6.5</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18.6%</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spacing w:after="0" w:line="234" w:lineRule="exact"/>
              <w:rPr>
                <w:sz w:val="20"/>
                <w:szCs w:val="20"/>
                <w:color w:val="auto"/>
              </w:rPr>
            </w:pPr>
            <w:r>
              <w:rPr>
                <w:rFonts w:ascii="Calibri" w:cs="Calibri" w:eastAsia="Calibri" w:hAnsi="Calibri"/>
                <w:sz w:val="20"/>
                <w:szCs w:val="20"/>
                <w:color w:val="auto"/>
                <w:w w:val="94"/>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16.3%</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b w:val="1"/>
                <w:bCs w:val="1"/>
                <w:color w:val="auto"/>
              </w:rPr>
              <w:t>Milk Makeup</w:t>
            </w: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360"/>
              <w:spacing w:after="0" w:line="234" w:lineRule="exact"/>
              <w:rPr>
                <w:sz w:val="20"/>
                <w:szCs w:val="20"/>
                <w:color w:val="auto"/>
              </w:rPr>
            </w:pPr>
            <w:r>
              <w:rPr>
                <w:rFonts w:ascii="Calibri" w:cs="Calibri" w:eastAsia="Calibri" w:hAnsi="Calibri"/>
                <w:sz w:val="20"/>
                <w:szCs w:val="20"/>
                <w:color w:val="auto"/>
              </w:rPr>
              <w:t>Net Revenue</w:t>
            </w: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28.7</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100.0%</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20.0%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rPr>
              <w:t>23.9</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100.0%</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tcBorders>
              <w:bottom w:val="single" w:sz="8" w:color="CCEEFF"/>
            </w:tcBorders>
            <w:gridSpan w:val="2"/>
            <w:shd w:val="clear" w:color="auto" w:fill="CCEEFF"/>
          </w:tcPr>
          <w:p>
            <w:pPr>
              <w:ind w:left="360"/>
              <w:spacing w:after="0" w:line="234" w:lineRule="exact"/>
              <w:rPr>
                <w:sz w:val="20"/>
                <w:szCs w:val="20"/>
                <w:color w:val="auto"/>
              </w:rPr>
            </w:pPr>
            <w:r>
              <w:rPr>
                <w:rFonts w:ascii="Calibri" w:cs="Calibri" w:eastAsia="Calibri" w:hAnsi="Calibri"/>
                <w:sz w:val="20"/>
                <w:szCs w:val="20"/>
                <w:color w:val="auto"/>
              </w:rPr>
              <w:t>Adjusted Gross Proft</w:t>
            </w: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20.0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69.7%</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66.1%</w:t>
            </w:r>
          </w:p>
        </w:tc>
        <w:tc>
          <w:tcPr>
            <w:tcW w:w="0" w:type="dxa"/>
            <w:vAlign w:val="bottom"/>
          </w:tcPr>
          <w:p>
            <w:pPr>
              <w:spacing w:after="0"/>
              <w:rPr>
                <w:sz w:val="1"/>
                <w:szCs w:val="1"/>
                <w:color w:val="auto"/>
              </w:rPr>
            </w:pPr>
          </w:p>
        </w:tc>
      </w:tr>
      <w:tr>
        <w:trPr>
          <w:trHeight w:val="234"/>
        </w:trPr>
        <w:tc>
          <w:tcPr>
            <w:tcW w:w="3320" w:type="dxa"/>
            <w:vAlign w:val="bottom"/>
            <w:gridSpan w:val="2"/>
          </w:tcPr>
          <w:p>
            <w:pPr>
              <w:ind w:left="360"/>
              <w:spacing w:after="0" w:line="234" w:lineRule="exact"/>
              <w:rPr>
                <w:sz w:val="20"/>
                <w:szCs w:val="20"/>
                <w:color w:val="auto"/>
              </w:rPr>
            </w:pPr>
            <w:r>
              <w:rPr>
                <w:rFonts w:ascii="Calibri" w:cs="Calibri" w:eastAsia="Calibri" w:hAnsi="Calibri"/>
                <w:sz w:val="20"/>
                <w:szCs w:val="20"/>
                <w:color w:val="auto"/>
              </w:rPr>
              <w:t>Adjusted EBITDA</w:t>
            </w: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w w:val="94"/>
              </w:rPr>
              <w:t>5.7</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19.8%</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48.0%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w w:val="94"/>
              </w:rPr>
              <w:t>3.8</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16.1%</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181818"/>
        </w:rPr>
        <w:t>Obagi Medical:</w:t>
      </w:r>
    </w:p>
    <w:p>
      <w:pPr>
        <w:spacing w:after="0" w:line="49" w:lineRule="exact"/>
        <w:rPr>
          <w:sz w:val="20"/>
          <w:szCs w:val="20"/>
          <w:color w:val="auto"/>
        </w:rPr>
      </w:pPr>
    </w:p>
    <w:p>
      <w:pPr>
        <w:ind w:left="660" w:hanging="328"/>
        <w:spacing w:after="0" w:line="234" w:lineRule="auto"/>
        <w:tabs>
          <w:tab w:leader="none" w:pos="653" w:val="left"/>
        </w:tabs>
        <w:numPr>
          <w:ilvl w:val="0"/>
          <w:numId w:val="3"/>
        </w:numPr>
        <w:rPr>
          <w:rFonts w:ascii="Calibri" w:cs="Calibri" w:eastAsia="Calibri" w:hAnsi="Calibri"/>
          <w:sz w:val="20"/>
          <w:szCs w:val="20"/>
          <w:color w:val="212529"/>
        </w:rPr>
      </w:pPr>
      <w:r>
        <w:rPr>
          <w:rFonts w:ascii="Calibri" w:cs="Calibri" w:eastAsia="Calibri" w:hAnsi="Calibri"/>
          <w:sz w:val="20"/>
          <w:szCs w:val="20"/>
          <w:color w:val="181818"/>
        </w:rPr>
        <w:t>Net Revenue o</w:t>
      </w:r>
      <w:r>
        <w:rPr>
          <w:rFonts w:ascii="Calibri" w:cs="Calibri" w:eastAsia="Calibri" w:hAnsi="Calibri"/>
          <w:sz w:val="20"/>
          <w:szCs w:val="20"/>
          <w:color w:val="212529"/>
        </w:rPr>
        <w:t>f $34.6 million in Q2 2024 vs $25.5 million in Q2 2023</w:t>
      </w:r>
      <w:r>
        <w:rPr>
          <w:rFonts w:ascii="Calibri" w:cs="Calibri" w:eastAsia="Calibri" w:hAnsi="Calibri"/>
          <w:sz w:val="20"/>
          <w:szCs w:val="20"/>
          <w:color w:val="181818"/>
        </w:rPr>
        <w:t xml:space="preserve">. Comparable Growth of </w:t>
      </w:r>
      <w:r>
        <w:rPr>
          <w:rFonts w:ascii="Calibri" w:cs="Calibri" w:eastAsia="Calibri" w:hAnsi="Calibri"/>
          <w:sz w:val="20"/>
          <w:szCs w:val="20"/>
          <w:color w:val="000000"/>
        </w:rPr>
        <w:t>30.9%</w:t>
      </w:r>
      <w:r>
        <w:rPr>
          <w:rFonts w:ascii="Calibri" w:cs="Calibri" w:eastAsia="Calibri" w:hAnsi="Calibri"/>
          <w:sz w:val="20"/>
          <w:szCs w:val="20"/>
          <w:color w:val="181818"/>
        </w:rPr>
        <w:t xml:space="preserve"> against </w:t>
      </w:r>
      <w:r>
        <w:rPr>
          <w:rFonts w:ascii="Calibri" w:cs="Calibri" w:eastAsia="Calibri" w:hAnsi="Calibri"/>
          <w:sz w:val="20"/>
          <w:szCs w:val="20"/>
          <w:color w:val="212529"/>
        </w:rPr>
        <w:t>Q2 2023</w:t>
      </w:r>
      <w:r>
        <w:rPr>
          <w:rFonts w:ascii="Calibri" w:cs="Calibri" w:eastAsia="Calibri" w:hAnsi="Calibri"/>
          <w:sz w:val="20"/>
          <w:szCs w:val="20"/>
          <w:color w:val="181818"/>
        </w:rPr>
        <w:t xml:space="preserve">, Net Loss of </w:t>
      </w:r>
      <w:r>
        <w:rPr>
          <w:rFonts w:ascii="Calibri" w:cs="Calibri" w:eastAsia="Calibri" w:hAnsi="Calibri"/>
          <w:sz w:val="20"/>
          <w:szCs w:val="20"/>
          <w:color w:val="212529"/>
        </w:rPr>
        <w:t xml:space="preserve">$5.7 million </w:t>
      </w:r>
      <w:r>
        <w:rPr>
          <w:rFonts w:ascii="Calibri" w:cs="Calibri" w:eastAsia="Calibri" w:hAnsi="Calibri"/>
          <w:sz w:val="20"/>
          <w:szCs w:val="20"/>
          <w:color w:val="181818"/>
        </w:rPr>
        <w:t>and Adjusted EBITDA of</w:t>
      </w:r>
      <w:r>
        <w:rPr>
          <w:rFonts w:ascii="Calibri" w:cs="Calibri" w:eastAsia="Calibri" w:hAnsi="Calibri"/>
          <w:sz w:val="20"/>
          <w:szCs w:val="20"/>
          <w:color w:val="212529"/>
        </w:rPr>
        <w:t xml:space="preserve"> $6.5 million, a </w:t>
      </w:r>
      <w:r>
        <w:rPr>
          <w:rFonts w:ascii="Calibri" w:cs="Calibri" w:eastAsia="Calibri" w:hAnsi="Calibri"/>
          <w:sz w:val="20"/>
          <w:szCs w:val="20"/>
          <w:color w:val="000000"/>
        </w:rPr>
        <w:t>55.4%</w:t>
      </w:r>
      <w:r>
        <w:rPr>
          <w:rFonts w:ascii="Calibri" w:cs="Calibri" w:eastAsia="Calibri" w:hAnsi="Calibri"/>
          <w:sz w:val="20"/>
          <w:szCs w:val="20"/>
          <w:color w:val="212529"/>
        </w:rPr>
        <w:t xml:space="preserve"> </w:t>
      </w:r>
      <w:r>
        <w:rPr>
          <w:rFonts w:ascii="Calibri" w:cs="Calibri" w:eastAsia="Calibri" w:hAnsi="Calibri"/>
          <w:sz w:val="20"/>
          <w:szCs w:val="20"/>
          <w:color w:val="181818"/>
        </w:rPr>
        <w:t>increase from</w:t>
      </w:r>
      <w:r>
        <w:rPr>
          <w:rFonts w:ascii="Calibri" w:cs="Calibri" w:eastAsia="Calibri" w:hAnsi="Calibri"/>
          <w:sz w:val="20"/>
          <w:szCs w:val="20"/>
          <w:color w:val="212529"/>
        </w:rPr>
        <w:t xml:space="preserve"> Q2 2023</w:t>
      </w:r>
      <w:r>
        <w:rPr>
          <w:rFonts w:ascii="Calibri" w:cs="Calibri" w:eastAsia="Calibri" w:hAnsi="Calibri"/>
          <w:sz w:val="20"/>
          <w:szCs w:val="20"/>
          <w:color w:val="181818"/>
        </w:rPr>
        <w:t>.</w:t>
      </w:r>
    </w:p>
    <w:p>
      <w:pPr>
        <w:spacing w:after="0" w:line="63" w:lineRule="exact"/>
        <w:rPr>
          <w:rFonts w:ascii="Calibri" w:cs="Calibri" w:eastAsia="Calibri" w:hAnsi="Calibri"/>
          <w:sz w:val="20"/>
          <w:szCs w:val="20"/>
          <w:color w:val="212529"/>
        </w:rPr>
      </w:pPr>
    </w:p>
    <w:p>
      <w:pPr>
        <w:ind w:left="660" w:right="2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 xml:space="preserve">Growth drivers consisted of an acceleraton in our digital channels </w:t>
      </w:r>
      <w:r>
        <w:rPr>
          <w:rFonts w:ascii="Calibri" w:cs="Calibri" w:eastAsia="Calibri" w:hAnsi="Calibri"/>
          <w:sz w:val="20"/>
          <w:szCs w:val="20"/>
          <w:color w:val="181818"/>
        </w:rPr>
        <w:t>and the additon of sales from our Southeast Asia subsidiary,</w:t>
      </w:r>
      <w:r>
        <w:rPr>
          <w:rFonts w:ascii="Calibri" w:cs="Calibri" w:eastAsia="Calibri" w:hAnsi="Calibri"/>
          <w:sz w:val="20"/>
          <w:szCs w:val="20"/>
          <w:color w:val="auto"/>
        </w:rPr>
        <w:t xml:space="preserve"> </w:t>
      </w:r>
      <w:r>
        <w:rPr>
          <w:rFonts w:ascii="Calibri" w:cs="Calibri" w:eastAsia="Calibri" w:hAnsi="Calibri"/>
          <w:sz w:val="20"/>
          <w:szCs w:val="20"/>
          <w:color w:val="181818"/>
        </w:rPr>
        <w:t>established in Q3 2023.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925" w:right="339" w:bottom="1440" w:gutter="0" w:footer="0" w:header="0"/>
        </w:sectPr>
      </w:pPr>
    </w:p>
    <w:bookmarkStart w:id="6" w:name="page7"/>
    <w:bookmarkEnd w:id="6"/>
    <w:p>
      <w:pPr>
        <w:ind w:left="660" w:hanging="328"/>
        <w:spacing w:after="0" w:line="234" w:lineRule="auto"/>
        <w:tabs>
          <w:tab w:leader="none" w:pos="653" w:val="left"/>
        </w:tabs>
        <w:numPr>
          <w:ilvl w:val="0"/>
          <w:numId w:val="4"/>
        </w:numPr>
        <w:rPr>
          <w:rFonts w:ascii="Calibri" w:cs="Calibri" w:eastAsia="Calibri" w:hAnsi="Calibri"/>
          <w:sz w:val="20"/>
          <w:szCs w:val="20"/>
          <w:color w:val="181818"/>
        </w:rPr>
      </w:pPr>
      <w:r>
        <w:rPr>
          <w:rFonts w:ascii="Calibri" w:cs="Calibri" w:eastAsia="Calibri" w:hAnsi="Calibri"/>
          <w:sz w:val="20"/>
          <w:szCs w:val="20"/>
          <w:color w:val="181818"/>
        </w:rPr>
        <w:t>Physician dispense declined in Q2 driven by key products out of stocks. We expect this channel to return to year over year growth in Q3 as the supply chain recovers and we launch a number of excitng new products.</w:t>
      </w:r>
    </w:p>
    <w:p>
      <w:pPr>
        <w:spacing w:after="0" w:line="50" w:lineRule="exact"/>
        <w:rPr>
          <w:rFonts w:ascii="Calibri" w:cs="Calibri" w:eastAsia="Calibri" w:hAnsi="Calibri"/>
          <w:sz w:val="20"/>
          <w:szCs w:val="20"/>
          <w:color w:val="181818"/>
        </w:rPr>
      </w:pPr>
    </w:p>
    <w:p>
      <w:pPr>
        <w:ind w:left="660" w:right="20" w:hanging="328"/>
        <w:spacing w:after="0" w:line="234" w:lineRule="auto"/>
        <w:tabs>
          <w:tab w:leader="none" w:pos="653" w:val="left"/>
        </w:tabs>
        <w:numPr>
          <w:ilvl w:val="0"/>
          <w:numId w:val="4"/>
        </w:numPr>
        <w:rPr>
          <w:rFonts w:ascii="Calibri" w:cs="Calibri" w:eastAsia="Calibri" w:hAnsi="Calibri"/>
          <w:sz w:val="20"/>
          <w:szCs w:val="20"/>
          <w:color w:val="181818"/>
        </w:rPr>
      </w:pPr>
      <w:r>
        <w:rPr>
          <w:rFonts w:ascii="Calibri" w:cs="Calibri" w:eastAsia="Calibri" w:hAnsi="Calibri"/>
          <w:sz w:val="20"/>
          <w:szCs w:val="20"/>
          <w:color w:val="181818"/>
        </w:rPr>
        <w:t xml:space="preserve">Adjusted Gross Margin increased 850 basis points to </w:t>
      </w:r>
      <w:r>
        <w:rPr>
          <w:rFonts w:ascii="Calibri" w:cs="Calibri" w:eastAsia="Calibri" w:hAnsi="Calibri"/>
          <w:sz w:val="20"/>
          <w:szCs w:val="20"/>
          <w:color w:val="000000"/>
        </w:rPr>
        <w:t>79.3%</w:t>
      </w:r>
      <w:r>
        <w:rPr>
          <w:rFonts w:ascii="Calibri" w:cs="Calibri" w:eastAsia="Calibri" w:hAnsi="Calibri"/>
          <w:sz w:val="20"/>
          <w:szCs w:val="20"/>
          <w:color w:val="181818"/>
        </w:rPr>
        <w:t xml:space="preserve"> compared to </w:t>
      </w:r>
      <w:r>
        <w:rPr>
          <w:rFonts w:ascii="Calibri" w:cs="Calibri" w:eastAsia="Calibri" w:hAnsi="Calibri"/>
          <w:sz w:val="20"/>
          <w:szCs w:val="20"/>
          <w:color w:val="212529"/>
        </w:rPr>
        <w:t>Q2 2023</w:t>
      </w:r>
      <w:r>
        <w:rPr>
          <w:rFonts w:ascii="Calibri" w:cs="Calibri" w:eastAsia="Calibri" w:hAnsi="Calibri"/>
          <w:sz w:val="20"/>
          <w:szCs w:val="20"/>
          <w:color w:val="181818"/>
        </w:rPr>
        <w:t xml:space="preserve"> primarily due to an acceleraton in digital channels and a reducton in inventory write-ofs.</w:t>
      </w:r>
    </w:p>
    <w:p>
      <w:pPr>
        <w:spacing w:after="0" w:line="50" w:lineRule="exact"/>
        <w:rPr>
          <w:rFonts w:ascii="Calibri" w:cs="Calibri" w:eastAsia="Calibri" w:hAnsi="Calibri"/>
          <w:sz w:val="20"/>
          <w:szCs w:val="20"/>
          <w:color w:val="181818"/>
        </w:rPr>
      </w:pPr>
    </w:p>
    <w:p>
      <w:pPr>
        <w:ind w:left="660" w:hanging="328"/>
        <w:spacing w:after="0" w:line="234" w:lineRule="auto"/>
        <w:tabs>
          <w:tab w:leader="none" w:pos="653" w:val="left"/>
        </w:tabs>
        <w:numPr>
          <w:ilvl w:val="0"/>
          <w:numId w:val="4"/>
        </w:numPr>
        <w:rPr>
          <w:rFonts w:ascii="Calibri" w:cs="Calibri" w:eastAsia="Calibri" w:hAnsi="Calibri"/>
          <w:sz w:val="20"/>
          <w:szCs w:val="20"/>
          <w:color w:val="181818"/>
        </w:rPr>
      </w:pPr>
      <w:r>
        <w:rPr>
          <w:rFonts w:ascii="Calibri" w:cs="Calibri" w:eastAsia="Calibri" w:hAnsi="Calibri"/>
          <w:sz w:val="20"/>
          <w:szCs w:val="20"/>
          <w:color w:val="181818"/>
        </w:rPr>
        <w:t>Obagi Medical contnues to focus on operatonal leverage, whilst investng in key business drivers and the ramp up in Southeast Asia to ensure future proftable growth.</w:t>
      </w:r>
    </w:p>
    <w:p>
      <w:pPr>
        <w:spacing w:after="0" w:line="351"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181818"/>
        </w:rPr>
        <w:t>Milk Makeup:</w:t>
      </w:r>
    </w:p>
    <w:p>
      <w:pPr>
        <w:spacing w:after="0" w:line="49" w:lineRule="exact"/>
        <w:rPr>
          <w:sz w:val="20"/>
          <w:szCs w:val="20"/>
          <w:color w:val="auto"/>
        </w:rPr>
      </w:pPr>
    </w:p>
    <w:p>
      <w:pPr>
        <w:ind w:left="660" w:hanging="328"/>
        <w:spacing w:after="0" w:line="234"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181818"/>
        </w:rPr>
        <w:t xml:space="preserve">Net Revenue of </w:t>
      </w:r>
      <w:r>
        <w:rPr>
          <w:rFonts w:ascii="Calibri" w:cs="Calibri" w:eastAsia="Calibri" w:hAnsi="Calibri"/>
          <w:sz w:val="20"/>
          <w:szCs w:val="20"/>
          <w:color w:val="212529"/>
        </w:rPr>
        <w:t>$28.7 million</w:t>
      </w:r>
      <w:r>
        <w:rPr>
          <w:rFonts w:ascii="Calibri" w:cs="Calibri" w:eastAsia="Calibri" w:hAnsi="Calibri"/>
          <w:sz w:val="20"/>
          <w:szCs w:val="20"/>
          <w:color w:val="181818"/>
        </w:rPr>
        <w:t>, a growth of +</w:t>
      </w:r>
      <w:r>
        <w:rPr>
          <w:rFonts w:ascii="Calibri" w:cs="Calibri" w:eastAsia="Calibri" w:hAnsi="Calibri"/>
          <w:sz w:val="20"/>
          <w:szCs w:val="20"/>
          <w:color w:val="000000"/>
        </w:rPr>
        <w:t>20.0%</w:t>
      </w:r>
      <w:r>
        <w:rPr>
          <w:rFonts w:ascii="Calibri" w:cs="Calibri" w:eastAsia="Calibri" w:hAnsi="Calibri"/>
          <w:sz w:val="20"/>
          <w:szCs w:val="20"/>
          <w:color w:val="181818"/>
        </w:rPr>
        <w:t xml:space="preserve"> vs. </w:t>
      </w:r>
      <w:r>
        <w:rPr>
          <w:rFonts w:ascii="Calibri" w:cs="Calibri" w:eastAsia="Calibri" w:hAnsi="Calibri"/>
          <w:sz w:val="20"/>
          <w:szCs w:val="20"/>
          <w:color w:val="212529"/>
        </w:rPr>
        <w:t>Q2 2023</w:t>
      </w:r>
      <w:r>
        <w:rPr>
          <w:rFonts w:ascii="Calibri" w:cs="Calibri" w:eastAsia="Calibri" w:hAnsi="Calibri"/>
          <w:sz w:val="20"/>
          <w:szCs w:val="20"/>
          <w:color w:val="181818"/>
        </w:rPr>
        <w:t xml:space="preserve">, Net Loss of </w:t>
      </w:r>
      <w:r>
        <w:rPr>
          <w:rFonts w:ascii="Calibri" w:cs="Calibri" w:eastAsia="Calibri" w:hAnsi="Calibri"/>
          <w:sz w:val="20"/>
          <w:szCs w:val="20"/>
          <w:color w:val="212529"/>
        </w:rPr>
        <w:t>$0.4 million</w:t>
      </w:r>
      <w:r>
        <w:rPr>
          <w:rFonts w:ascii="Calibri" w:cs="Calibri" w:eastAsia="Calibri" w:hAnsi="Calibri"/>
          <w:sz w:val="20"/>
          <w:szCs w:val="20"/>
          <w:color w:val="181818"/>
        </w:rPr>
        <w:t xml:space="preserve"> whilst delivering Adjusted EBITDA of </w:t>
      </w:r>
      <w:r>
        <w:rPr>
          <w:rFonts w:ascii="Calibri" w:cs="Calibri" w:eastAsia="Calibri" w:hAnsi="Calibri"/>
          <w:sz w:val="20"/>
          <w:szCs w:val="20"/>
          <w:color w:val="212529"/>
        </w:rPr>
        <w:t>$5.7</w:t>
      </w:r>
      <w:r>
        <w:rPr>
          <w:rFonts w:ascii="Calibri" w:cs="Calibri" w:eastAsia="Calibri" w:hAnsi="Calibri"/>
          <w:sz w:val="20"/>
          <w:szCs w:val="20"/>
          <w:color w:val="181818"/>
        </w:rPr>
        <w:t xml:space="preserve"> </w:t>
      </w:r>
      <w:r>
        <w:rPr>
          <w:rFonts w:ascii="Calibri" w:cs="Calibri" w:eastAsia="Calibri" w:hAnsi="Calibri"/>
          <w:sz w:val="20"/>
          <w:szCs w:val="20"/>
          <w:color w:val="212529"/>
        </w:rPr>
        <w:t xml:space="preserve">million, increasing </w:t>
      </w:r>
      <w:r>
        <w:rPr>
          <w:rFonts w:ascii="Calibri" w:cs="Calibri" w:eastAsia="Calibri" w:hAnsi="Calibri"/>
          <w:sz w:val="20"/>
          <w:szCs w:val="20"/>
          <w:color w:val="000000"/>
        </w:rPr>
        <w:t>48.0% against Q2 2023.</w:t>
      </w:r>
    </w:p>
    <w:p>
      <w:pPr>
        <w:spacing w:after="0" w:line="50" w:lineRule="exact"/>
        <w:rPr>
          <w:rFonts w:ascii="Calibri" w:cs="Calibri" w:eastAsia="Calibri" w:hAnsi="Calibri"/>
          <w:sz w:val="20"/>
          <w:szCs w:val="20"/>
          <w:color w:val="auto"/>
        </w:rPr>
      </w:pPr>
    </w:p>
    <w:p>
      <w:pPr>
        <w:jc w:val="both"/>
        <w:ind w:left="660" w:hanging="328"/>
        <w:spacing w:after="0"/>
        <w:tabs>
          <w:tab w:leader="none" w:pos="653" w:val="left"/>
        </w:tabs>
        <w:numPr>
          <w:ilvl w:val="0"/>
          <w:numId w:val="5"/>
        </w:numPr>
        <w:rPr>
          <w:rFonts w:ascii="Calibri" w:cs="Calibri" w:eastAsia="Calibri" w:hAnsi="Calibri"/>
          <w:sz w:val="20"/>
          <w:szCs w:val="20"/>
          <w:color w:val="212529"/>
        </w:rPr>
      </w:pPr>
      <w:r>
        <w:rPr>
          <w:rFonts w:ascii="Calibri" w:cs="Calibri" w:eastAsia="Calibri" w:hAnsi="Calibri"/>
          <w:sz w:val="20"/>
          <w:szCs w:val="20"/>
          <w:color w:val="212529"/>
        </w:rPr>
        <w:t>Milk Makeup was impacted by out of stocks partcularly in the successful Cooling Water Jelly Tints, which was materially improved towards the end of the quarter and is driving momentum going into Q3.Despite the out of stocks, the internatonal business delivered high growth as the business contnued to develop consumer awareness within existng and new retailers and markets.</w:t>
      </w:r>
    </w:p>
    <w:p>
      <w:pPr>
        <w:spacing w:after="0" w:line="270" w:lineRule="exact"/>
        <w:rPr>
          <w:rFonts w:ascii="Calibri" w:cs="Calibri" w:eastAsia="Calibri" w:hAnsi="Calibri"/>
          <w:sz w:val="20"/>
          <w:szCs w:val="20"/>
          <w:color w:val="212529"/>
        </w:rPr>
      </w:pPr>
    </w:p>
    <w:p>
      <w:pPr>
        <w:ind w:left="640" w:hanging="308"/>
        <w:spacing w:after="0"/>
        <w:tabs>
          <w:tab w:leader="none" w:pos="640" w:val="left"/>
        </w:tabs>
        <w:numPr>
          <w:ilvl w:val="0"/>
          <w:numId w:val="5"/>
        </w:numPr>
        <w:rPr>
          <w:rFonts w:ascii="Calibri" w:cs="Calibri" w:eastAsia="Calibri" w:hAnsi="Calibri"/>
          <w:sz w:val="20"/>
          <w:szCs w:val="20"/>
          <w:color w:val="212529"/>
        </w:rPr>
      </w:pPr>
      <w:r>
        <w:rPr>
          <w:rFonts w:ascii="Calibri" w:cs="Calibri" w:eastAsia="Calibri" w:hAnsi="Calibri"/>
          <w:sz w:val="20"/>
          <w:szCs w:val="20"/>
          <w:color w:val="212529"/>
        </w:rPr>
        <w:t>Adjusted Gross Margin increased by 360 basis points primarily due to lower of-price channel sales compared to Q2 2023.</w:t>
      </w:r>
    </w:p>
    <w:p>
      <w:pPr>
        <w:ind w:left="660" w:right="20" w:hanging="328"/>
        <w:spacing w:after="0" w:line="232"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Successfully completed a warehouse transiton to drive cost efciency and optmize brand operatons for future growth both domestcally and internatonally.</w:t>
      </w:r>
    </w:p>
    <w:p>
      <w:pPr>
        <w:spacing w:after="0" w:line="63" w:lineRule="exact"/>
        <w:rPr>
          <w:rFonts w:ascii="Calibri" w:cs="Calibri" w:eastAsia="Calibri" w:hAnsi="Calibri"/>
          <w:sz w:val="20"/>
          <w:szCs w:val="20"/>
          <w:color w:val="auto"/>
        </w:rPr>
      </w:pPr>
    </w:p>
    <w:p>
      <w:pPr>
        <w:jc w:val="both"/>
        <w:ind w:left="660" w:hanging="328"/>
        <w:spacing w:after="0" w:line="231"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181818"/>
        </w:rPr>
        <w:t xml:space="preserve">Adjusted EBITDA margin improved from </w:t>
      </w:r>
      <w:r>
        <w:rPr>
          <w:rFonts w:ascii="Calibri" w:cs="Calibri" w:eastAsia="Calibri" w:hAnsi="Calibri"/>
          <w:sz w:val="20"/>
          <w:szCs w:val="20"/>
          <w:color w:val="000000"/>
        </w:rPr>
        <w:t>16.1%</w:t>
      </w:r>
      <w:r>
        <w:rPr>
          <w:rFonts w:ascii="Calibri" w:cs="Calibri" w:eastAsia="Calibri" w:hAnsi="Calibri"/>
          <w:sz w:val="20"/>
          <w:szCs w:val="20"/>
          <w:color w:val="181818"/>
        </w:rPr>
        <w:t xml:space="preserve"> in </w:t>
      </w:r>
      <w:r>
        <w:rPr>
          <w:rFonts w:ascii="Calibri" w:cs="Calibri" w:eastAsia="Calibri" w:hAnsi="Calibri"/>
          <w:sz w:val="20"/>
          <w:szCs w:val="20"/>
          <w:color w:val="212529"/>
        </w:rPr>
        <w:t>Q2 2023</w:t>
      </w:r>
      <w:r>
        <w:rPr>
          <w:rFonts w:ascii="Calibri" w:cs="Calibri" w:eastAsia="Calibri" w:hAnsi="Calibri"/>
          <w:sz w:val="20"/>
          <w:szCs w:val="20"/>
          <w:color w:val="181818"/>
        </w:rPr>
        <w:t xml:space="preserve"> to </w:t>
      </w:r>
      <w:r>
        <w:rPr>
          <w:rFonts w:ascii="Calibri" w:cs="Calibri" w:eastAsia="Calibri" w:hAnsi="Calibri"/>
          <w:sz w:val="20"/>
          <w:szCs w:val="20"/>
          <w:color w:val="000000"/>
        </w:rPr>
        <w:t>19.8%</w:t>
      </w:r>
      <w:r>
        <w:rPr>
          <w:rFonts w:ascii="Calibri" w:cs="Calibri" w:eastAsia="Calibri" w:hAnsi="Calibri"/>
          <w:sz w:val="20"/>
          <w:szCs w:val="20"/>
          <w:color w:val="181818"/>
        </w:rPr>
        <w:t xml:space="preserve"> in Q2 2024 due to topline growth and gross margin improvement. Our focus on proftable growth contnues, with strong emphasis on operatonal efciency and acceleratng our investment in marketng, community, and internatonal structure to support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925" w:right="339" w:bottom="1440" w:gutter="0" w:footer="0" w:header="0"/>
        </w:sectPr>
      </w:pPr>
    </w:p>
    <w:bookmarkStart w:id="7" w:name="page8"/>
    <w:bookmarkEnd w:id="7"/>
    <w:p>
      <w:pPr>
        <w:spacing w:after="0"/>
        <w:rPr>
          <w:sz w:val="20"/>
          <w:szCs w:val="20"/>
          <w:color w:val="auto"/>
        </w:rPr>
      </w:pPr>
      <w:r>
        <w:rPr>
          <w:rFonts w:ascii="Calibri" w:cs="Calibri" w:eastAsia="Calibri" w:hAnsi="Calibri"/>
          <w:sz w:val="22"/>
          <w:szCs w:val="22"/>
          <w:b w:val="1"/>
          <w:bCs w:val="1"/>
          <w:u w:val="single" w:color="auto"/>
          <w:color w:val="212529"/>
        </w:rPr>
        <w:t>H1 2024 Results Overview</w:t>
      </w:r>
    </w:p>
    <w:p>
      <w:pPr>
        <w:spacing w:after="0" w:line="246"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212529"/>
        </w:rPr>
        <w:t xml:space="preserve">Net Revenue </w:t>
      </w:r>
      <w:r>
        <w:rPr>
          <w:rFonts w:ascii="Calibri" w:cs="Calibri" w:eastAsia="Calibri" w:hAnsi="Calibri"/>
          <w:sz w:val="20"/>
          <w:szCs w:val="20"/>
          <w:color w:val="212529"/>
        </w:rPr>
        <w:t>for H1 2024 was $131.6 million, compared to Net Revenue of $109.3 million in H1 2023, a +</w:t>
      </w:r>
      <w:r>
        <w:rPr>
          <w:rFonts w:ascii="Calibri" w:cs="Calibri" w:eastAsia="Calibri" w:hAnsi="Calibri"/>
          <w:sz w:val="20"/>
          <w:szCs w:val="20"/>
          <w:color w:val="000000"/>
        </w:rPr>
        <w:t>20.3%</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increase on a Net</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Revenue basis and a +</w:t>
      </w:r>
      <w:r>
        <w:rPr>
          <w:rFonts w:ascii="Calibri" w:cs="Calibri" w:eastAsia="Calibri" w:hAnsi="Calibri"/>
          <w:sz w:val="20"/>
          <w:szCs w:val="20"/>
          <w:color w:val="000000"/>
        </w:rPr>
        <w:t>23.1%</w:t>
      </w:r>
      <w:r>
        <w:rPr>
          <w:rFonts w:ascii="Calibri" w:cs="Calibri" w:eastAsia="Calibri" w:hAnsi="Calibri"/>
          <w:sz w:val="20"/>
          <w:szCs w:val="20"/>
          <w:color w:val="212529"/>
        </w:rPr>
        <w:t xml:space="preserve"> increase in Comparable Growth.</w:t>
      </w:r>
    </w:p>
    <w:p>
      <w:pPr>
        <w:spacing w:after="0" w:line="2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212529"/>
        </w:rPr>
        <w:t xml:space="preserve">Gross Proft </w:t>
      </w:r>
      <w:r>
        <w:rPr>
          <w:rFonts w:ascii="Calibri" w:cs="Calibri" w:eastAsia="Calibri" w:hAnsi="Calibri"/>
          <w:sz w:val="20"/>
          <w:szCs w:val="20"/>
          <w:color w:val="212529"/>
        </w:rPr>
        <w:t>for H1 2024 was $94.2 million, compared to Gross Proft of $68.2 million in H1 2023. Adjusted Gross Proft for H1 2024 was</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 xml:space="preserve">$99.5 million, or </w:t>
      </w:r>
      <w:r>
        <w:rPr>
          <w:rFonts w:ascii="Calibri" w:cs="Calibri" w:eastAsia="Calibri" w:hAnsi="Calibri"/>
          <w:sz w:val="20"/>
          <w:szCs w:val="20"/>
          <w:color w:val="000000"/>
        </w:rPr>
        <w:t>75.6%</w:t>
      </w:r>
      <w:r>
        <w:rPr>
          <w:rFonts w:ascii="Calibri" w:cs="Calibri" w:eastAsia="Calibri" w:hAnsi="Calibri"/>
          <w:sz w:val="20"/>
          <w:szCs w:val="20"/>
          <w:color w:val="212529"/>
        </w:rPr>
        <w:t xml:space="preserve"> of Net Revenue, resultng in a margin improvement of 890 basis points compared to Adjusted Gross Proft of $73.0 million in H1 2023 or </w:t>
      </w:r>
      <w:r>
        <w:rPr>
          <w:rFonts w:ascii="Calibri" w:cs="Calibri" w:eastAsia="Calibri" w:hAnsi="Calibri"/>
          <w:sz w:val="20"/>
          <w:szCs w:val="20"/>
          <w:color w:val="000000"/>
        </w:rPr>
        <w:t>66.7%</w:t>
      </w:r>
      <w:r>
        <w:rPr>
          <w:rFonts w:ascii="Calibri" w:cs="Calibri" w:eastAsia="Calibri" w:hAnsi="Calibri"/>
          <w:sz w:val="20"/>
          <w:szCs w:val="20"/>
          <w:color w:val="212529"/>
        </w:rPr>
        <w:t xml:space="preserve"> of Net Revenue.</w:t>
      </w:r>
    </w:p>
    <w:p>
      <w:pPr>
        <w:spacing w:after="0" w:line="238"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b w:val="1"/>
          <w:bCs w:val="1"/>
          <w:color w:val="212529"/>
        </w:rPr>
        <w:t xml:space="preserve">Net Loss </w:t>
      </w:r>
      <w:r>
        <w:rPr>
          <w:rFonts w:ascii="Calibri" w:cs="Calibri" w:eastAsia="Calibri" w:hAnsi="Calibri"/>
          <w:sz w:val="20"/>
          <w:szCs w:val="20"/>
          <w:color w:val="212529"/>
        </w:rPr>
        <w:t>for H1 2024 was $12.9 million, compared to a Net Loss of $36.8 million in H1 2023. Net loss improved primarily due to income</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related to the fair value adjustment for warrants.</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212529"/>
        </w:rPr>
        <w:t xml:space="preserve">Adjusted EBITDA </w:t>
      </w:r>
      <w:r>
        <w:rPr>
          <w:rFonts w:ascii="Calibri" w:cs="Calibri" w:eastAsia="Calibri" w:hAnsi="Calibri"/>
          <w:sz w:val="20"/>
          <w:szCs w:val="20"/>
          <w:color w:val="212529"/>
        </w:rPr>
        <w:t>for H1 2024 was $17.7 million, or</w:t>
      </w:r>
      <w:r>
        <w:rPr>
          <w:rFonts w:ascii="Calibri" w:cs="Calibri" w:eastAsia="Calibri" w:hAnsi="Calibri"/>
          <w:sz w:val="20"/>
          <w:szCs w:val="20"/>
          <w:b w:val="1"/>
          <w:bCs w:val="1"/>
          <w:color w:val="212529"/>
        </w:rPr>
        <w:t xml:space="preserve"> </w:t>
      </w:r>
      <w:r>
        <w:rPr>
          <w:rFonts w:ascii="Calibri" w:cs="Calibri" w:eastAsia="Calibri" w:hAnsi="Calibri"/>
          <w:sz w:val="20"/>
          <w:szCs w:val="20"/>
          <w:color w:val="000000"/>
        </w:rPr>
        <w:t>13.4%</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Adjusted EBITDA Margin compared to</w:t>
      </w:r>
      <w:r>
        <w:rPr>
          <w:rFonts w:ascii="Calibri" w:cs="Calibri" w:eastAsia="Calibri" w:hAnsi="Calibri"/>
          <w:sz w:val="20"/>
          <w:szCs w:val="20"/>
          <w:b w:val="1"/>
          <w:bCs w:val="1"/>
          <w:color w:val="212529"/>
        </w:rPr>
        <w:t xml:space="preserve"> </w:t>
      </w:r>
      <w:r>
        <w:rPr>
          <w:rFonts w:ascii="Calibri" w:cs="Calibri" w:eastAsia="Calibri" w:hAnsi="Calibri"/>
          <w:sz w:val="20"/>
          <w:szCs w:val="20"/>
          <w:color w:val="000000"/>
        </w:rPr>
        <w:t>12.7%</w:t>
      </w:r>
      <w:r>
        <w:rPr>
          <w:rFonts w:ascii="Calibri" w:cs="Calibri" w:eastAsia="Calibri" w:hAnsi="Calibri"/>
          <w:sz w:val="20"/>
          <w:szCs w:val="20"/>
          <w:b w:val="1"/>
          <w:bCs w:val="1"/>
          <w:color w:val="212529"/>
        </w:rPr>
        <w:t xml:space="preserve"> </w:t>
      </w:r>
      <w:r>
        <w:rPr>
          <w:rFonts w:ascii="Calibri" w:cs="Calibri" w:eastAsia="Calibri" w:hAnsi="Calibri"/>
          <w:sz w:val="20"/>
          <w:szCs w:val="20"/>
          <w:color w:val="212529"/>
        </w:rPr>
        <w:t>in H1 2023.</w:t>
      </w:r>
    </w:p>
    <w:p>
      <w:pPr>
        <w:spacing w:after="0" w:line="21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212529"/>
        </w:rPr>
        <w:t>H1 2024 Highlights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vMerge w:val="restart"/>
          </w:tcPr>
          <w:p>
            <w:pPr>
              <w:jc w:val="center"/>
              <w:ind w:right="100"/>
              <w:spacing w:after="0"/>
              <w:rPr>
                <w:sz w:val="20"/>
                <w:szCs w:val="20"/>
                <w:color w:val="auto"/>
              </w:rPr>
            </w:pPr>
            <w:r>
              <w:rPr>
                <w:rFonts w:ascii="Calibri" w:cs="Calibri" w:eastAsia="Calibri" w:hAnsi="Calibri"/>
                <w:sz w:val="20"/>
                <w:szCs w:val="20"/>
                <w:b w:val="1"/>
                <w:bCs w:val="1"/>
                <w:color w:val="auto"/>
              </w:rPr>
              <w:t>H1 2024</w:t>
            </w:r>
          </w:p>
        </w:tc>
        <w:tc>
          <w:tcPr>
            <w:tcW w:w="1320" w:type="dxa"/>
            <w:vAlign w:val="bottom"/>
            <w:gridSpan w:val="2"/>
            <w:vMerge w:val="restart"/>
          </w:tcPr>
          <w:p>
            <w:pPr>
              <w:ind w:left="300"/>
              <w:spacing w:after="0"/>
              <w:rPr>
                <w:sz w:val="20"/>
                <w:szCs w:val="20"/>
                <w:color w:val="auto"/>
              </w:rPr>
            </w:pPr>
            <w:r>
              <w:rPr>
                <w:rFonts w:ascii="Calibri" w:cs="Calibri" w:eastAsia="Calibri" w:hAnsi="Calibri"/>
                <w:sz w:val="20"/>
                <w:szCs w:val="20"/>
                <w:b w:val="1"/>
                <w:bCs w:val="1"/>
                <w:color w:val="auto"/>
              </w:rPr>
              <w:t>% Sales</w:t>
            </w:r>
          </w:p>
        </w:tc>
        <w:tc>
          <w:tcPr>
            <w:tcW w:w="1340" w:type="dxa"/>
            <w:vAlign w:val="bottom"/>
            <w:gridSpan w:val="2"/>
            <w:vMerge w:val="restart"/>
          </w:tcPr>
          <w:p>
            <w:pPr>
              <w:jc w:val="center"/>
              <w:ind w:right="100"/>
              <w:spacing w:after="0"/>
              <w:rPr>
                <w:sz w:val="20"/>
                <w:szCs w:val="20"/>
                <w:color w:val="auto"/>
              </w:rPr>
            </w:pPr>
            <w:r>
              <w:rPr>
                <w:rFonts w:ascii="Calibri" w:cs="Calibri" w:eastAsia="Calibri" w:hAnsi="Calibri"/>
                <w:sz w:val="20"/>
                <w:szCs w:val="20"/>
                <w:b w:val="1"/>
                <w:bCs w:val="1"/>
                <w:color w:val="auto"/>
              </w:rPr>
              <w:t>% Growth</w:t>
            </w:r>
          </w:p>
        </w:tc>
        <w:tc>
          <w:tcPr>
            <w:tcW w:w="1340" w:type="dxa"/>
            <w:vAlign w:val="bottom"/>
            <w:gridSpan w:val="2"/>
          </w:tcPr>
          <w:p>
            <w:pPr>
              <w:jc w:val="center"/>
              <w:ind w:right="140"/>
              <w:spacing w:after="0"/>
              <w:rPr>
                <w:sz w:val="20"/>
                <w:szCs w:val="20"/>
                <w:color w:val="auto"/>
              </w:rPr>
            </w:pPr>
            <w:r>
              <w:rPr>
                <w:rFonts w:ascii="Calibri" w:cs="Calibri" w:eastAsia="Calibri" w:hAnsi="Calibri"/>
                <w:sz w:val="20"/>
                <w:szCs w:val="20"/>
                <w:b w:val="1"/>
                <w:bCs w:val="1"/>
                <w:color w:val="auto"/>
              </w:rPr>
              <w:t>% Comp</w:t>
            </w:r>
          </w:p>
        </w:tc>
        <w:tc>
          <w:tcPr>
            <w:tcW w:w="60" w:type="dxa"/>
            <w:vAlign w:val="bottom"/>
          </w:tcPr>
          <w:p>
            <w:pPr>
              <w:spacing w:after="0"/>
              <w:rPr>
                <w:sz w:val="21"/>
                <w:szCs w:val="21"/>
                <w:color w:val="auto"/>
              </w:rPr>
            </w:pPr>
          </w:p>
        </w:tc>
        <w:tc>
          <w:tcPr>
            <w:tcW w:w="1340" w:type="dxa"/>
            <w:vAlign w:val="bottom"/>
            <w:gridSpan w:val="2"/>
            <w:vMerge w:val="restart"/>
          </w:tcPr>
          <w:p>
            <w:pPr>
              <w:jc w:val="center"/>
              <w:ind w:right="100"/>
              <w:spacing w:after="0"/>
              <w:rPr>
                <w:sz w:val="20"/>
                <w:szCs w:val="20"/>
                <w:color w:val="auto"/>
              </w:rPr>
            </w:pPr>
            <w:r>
              <w:rPr>
                <w:rFonts w:ascii="Calibri" w:cs="Calibri" w:eastAsia="Calibri" w:hAnsi="Calibri"/>
                <w:sz w:val="20"/>
                <w:szCs w:val="20"/>
                <w:b w:val="1"/>
                <w:bCs w:val="1"/>
                <w:color w:val="auto"/>
              </w:rPr>
              <w:t>H1 2023</w:t>
            </w:r>
          </w:p>
        </w:tc>
        <w:tc>
          <w:tcPr>
            <w:tcW w:w="1220" w:type="dxa"/>
            <w:vAlign w:val="bottom"/>
            <w:vMerge w:val="restart"/>
          </w:tcPr>
          <w:p>
            <w:pPr>
              <w:ind w:left="300"/>
              <w:spacing w:after="0"/>
              <w:rPr>
                <w:sz w:val="20"/>
                <w:szCs w:val="20"/>
                <w:color w:val="auto"/>
              </w:rPr>
            </w:pPr>
            <w:r>
              <w:rPr>
                <w:rFonts w:ascii="Calibri" w:cs="Calibri" w:eastAsia="Calibri" w:hAnsi="Calibri"/>
                <w:sz w:val="20"/>
                <w:szCs w:val="20"/>
                <w:b w:val="1"/>
                <w:bCs w:val="1"/>
                <w:color w:val="auto"/>
              </w:rPr>
              <w:t>% Sales</w:t>
            </w:r>
          </w:p>
        </w:tc>
        <w:tc>
          <w:tcPr>
            <w:tcW w:w="0" w:type="dxa"/>
            <w:vAlign w:val="bottom"/>
          </w:tcPr>
          <w:p>
            <w:pPr>
              <w:spacing w:after="0"/>
              <w:rPr>
                <w:sz w:val="1"/>
                <w:szCs w:val="1"/>
                <w:color w:val="auto"/>
              </w:rPr>
            </w:pPr>
          </w:p>
        </w:tc>
      </w:tr>
      <w:tr>
        <w:trPr>
          <w:trHeight w:val="234"/>
        </w:trPr>
        <w:tc>
          <w:tcPr>
            <w:tcW w:w="3320" w:type="dxa"/>
            <w:vAlign w:val="bottom"/>
            <w:gridSpan w:val="2"/>
          </w:tcPr>
          <w:p>
            <w:pPr>
              <w:ind w:left="20"/>
              <w:spacing w:after="0"/>
              <w:rPr>
                <w:sz w:val="20"/>
                <w:szCs w:val="20"/>
                <w:color w:val="auto"/>
              </w:rPr>
            </w:pPr>
            <w:r>
              <w:rPr>
                <w:rFonts w:ascii="Calibri" w:cs="Calibri" w:eastAsia="Calibri" w:hAnsi="Calibri"/>
                <w:sz w:val="16"/>
                <w:szCs w:val="16"/>
                <w:i w:val="1"/>
                <w:iCs w:val="1"/>
                <w:color w:val="212529"/>
              </w:rPr>
              <w:t>(In millions, except for percentages)</w:t>
            </w:r>
          </w:p>
        </w:tc>
        <w:tc>
          <w:tcPr>
            <w:tcW w:w="130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340" w:type="dxa"/>
            <w:vAlign w:val="bottom"/>
            <w:gridSpan w:val="2"/>
          </w:tcPr>
          <w:p>
            <w:pPr>
              <w:jc w:val="center"/>
              <w:ind w:right="140"/>
              <w:spacing w:after="0" w:line="234" w:lineRule="exact"/>
              <w:rPr>
                <w:sz w:val="20"/>
                <w:szCs w:val="20"/>
                <w:color w:val="auto"/>
              </w:rPr>
            </w:pPr>
            <w:r>
              <w:rPr>
                <w:rFonts w:ascii="Calibri" w:cs="Calibri" w:eastAsia="Calibri" w:hAnsi="Calibri"/>
                <w:sz w:val="20"/>
                <w:szCs w:val="20"/>
                <w:b w:val="1"/>
                <w:bCs w:val="1"/>
                <w:color w:val="auto"/>
              </w:rPr>
              <w:t>Growth</w:t>
            </w:r>
          </w:p>
        </w:tc>
        <w:tc>
          <w:tcPr>
            <w:tcW w:w="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b w:val="1"/>
                <w:bCs w:val="1"/>
                <w:color w:val="auto"/>
              </w:rPr>
              <w:t>Waldencast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360"/>
              <w:spacing w:after="0" w:line="234" w:lineRule="exact"/>
              <w:rPr>
                <w:sz w:val="20"/>
                <w:szCs w:val="20"/>
                <w:color w:val="auto"/>
              </w:rPr>
            </w:pPr>
            <w:r>
              <w:rPr>
                <w:rFonts w:ascii="Calibri" w:cs="Calibri" w:eastAsia="Calibri" w:hAnsi="Calibri"/>
                <w:sz w:val="20"/>
                <w:szCs w:val="20"/>
                <w:color w:val="auto"/>
              </w:rPr>
              <w:t>Net Revenue</w:t>
            </w: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131.6</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100.0%</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20.3%</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23.1%</w:t>
            </w: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rPr>
              <w:t>109.3</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100.0%</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360"/>
              <w:spacing w:after="0" w:line="234" w:lineRule="exact"/>
              <w:rPr>
                <w:sz w:val="20"/>
                <w:szCs w:val="20"/>
                <w:color w:val="auto"/>
              </w:rPr>
            </w:pPr>
            <w:r>
              <w:rPr>
                <w:rFonts w:ascii="Calibri" w:cs="Calibri" w:eastAsia="Calibri" w:hAnsi="Calibri"/>
                <w:sz w:val="20"/>
                <w:szCs w:val="20"/>
                <w:color w:val="auto"/>
              </w:rPr>
              <w:t>Adjusted Gross Proft</w:t>
            </w: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99.5</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75.6%</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73.0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66.7%</w:t>
            </w:r>
          </w:p>
        </w:tc>
        <w:tc>
          <w:tcPr>
            <w:tcW w:w="0" w:type="dxa"/>
            <w:vAlign w:val="bottom"/>
          </w:tcPr>
          <w:p>
            <w:pPr>
              <w:spacing w:after="0"/>
              <w:rPr>
                <w:sz w:val="1"/>
                <w:szCs w:val="1"/>
                <w:color w:val="auto"/>
              </w:rPr>
            </w:pPr>
          </w:p>
        </w:tc>
      </w:tr>
      <w:tr>
        <w:trPr>
          <w:trHeight w:val="234"/>
        </w:trPr>
        <w:tc>
          <w:tcPr>
            <w:tcW w:w="3320" w:type="dxa"/>
            <w:vAlign w:val="bottom"/>
            <w:gridSpan w:val="2"/>
          </w:tcPr>
          <w:p>
            <w:pPr>
              <w:ind w:left="360"/>
              <w:spacing w:after="0" w:line="234" w:lineRule="exact"/>
              <w:rPr>
                <w:sz w:val="20"/>
                <w:szCs w:val="20"/>
                <w:color w:val="auto"/>
              </w:rPr>
            </w:pPr>
            <w:r>
              <w:rPr>
                <w:rFonts w:ascii="Calibri" w:cs="Calibri" w:eastAsia="Calibri" w:hAnsi="Calibri"/>
                <w:sz w:val="20"/>
                <w:szCs w:val="20"/>
                <w:color w:val="auto"/>
              </w:rPr>
              <w:t>Adjusted EBITDA</w:t>
            </w: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17.7</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13.4%</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27.2%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rPr>
              <w:t>13.9</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12.7%</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20"/>
              <w:spacing w:after="0" w:line="234" w:lineRule="exact"/>
              <w:rPr>
                <w:sz w:val="20"/>
                <w:szCs w:val="20"/>
                <w:color w:val="auto"/>
              </w:rPr>
            </w:pPr>
            <w:r>
              <w:rPr>
                <w:rFonts w:ascii="Calibri" w:cs="Calibri" w:eastAsia="Calibri" w:hAnsi="Calibri"/>
                <w:sz w:val="20"/>
                <w:szCs w:val="20"/>
                <w:b w:val="1"/>
                <w:bCs w:val="1"/>
                <w:color w:val="auto"/>
              </w:rPr>
              <w:t>Obagi Medical</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360"/>
              <w:spacing w:after="0" w:line="234" w:lineRule="exact"/>
              <w:rPr>
                <w:sz w:val="20"/>
                <w:szCs w:val="20"/>
                <w:color w:val="auto"/>
              </w:rPr>
            </w:pPr>
            <w:r>
              <w:rPr>
                <w:rFonts w:ascii="Calibri" w:cs="Calibri" w:eastAsia="Calibri" w:hAnsi="Calibri"/>
                <w:sz w:val="20"/>
                <w:szCs w:val="20"/>
                <w:color w:val="auto"/>
              </w:rPr>
              <w:t>Net Revenue</w:t>
            </w: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68.4</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25.4%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57.0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100.0%</w:t>
            </w:r>
          </w:p>
        </w:tc>
        <w:tc>
          <w:tcPr>
            <w:tcW w:w="0" w:type="dxa"/>
            <w:vAlign w:val="bottom"/>
          </w:tcPr>
          <w:p>
            <w:pPr>
              <w:spacing w:after="0"/>
              <w:rPr>
                <w:sz w:val="1"/>
                <w:szCs w:val="1"/>
                <w:color w:val="auto"/>
              </w:rPr>
            </w:pPr>
          </w:p>
        </w:tc>
      </w:tr>
      <w:tr>
        <w:trPr>
          <w:trHeight w:val="234"/>
        </w:trPr>
        <w:tc>
          <w:tcPr>
            <w:tcW w:w="3320" w:type="dxa"/>
            <w:vAlign w:val="bottom"/>
            <w:gridSpan w:val="2"/>
          </w:tcPr>
          <w:p>
            <w:pPr>
              <w:ind w:left="360"/>
              <w:spacing w:after="0" w:line="234" w:lineRule="exact"/>
              <w:rPr>
                <w:sz w:val="20"/>
                <w:szCs w:val="20"/>
                <w:color w:val="auto"/>
              </w:rPr>
            </w:pPr>
            <w:r>
              <w:rPr>
                <w:rFonts w:ascii="Calibri" w:cs="Calibri" w:eastAsia="Calibri" w:hAnsi="Calibri"/>
                <w:sz w:val="20"/>
                <w:szCs w:val="20"/>
                <w:color w:val="auto"/>
              </w:rPr>
              <w:t>Adjusted Gross Proft</w:t>
            </w: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54.9</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80.3%</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42.8%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rPr>
              <w:t>38.5</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67.4%</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tcBorders>
              <w:bottom w:val="single" w:sz="8" w:color="CCEEFF"/>
            </w:tcBorders>
            <w:gridSpan w:val="2"/>
            <w:shd w:val="clear" w:color="auto" w:fill="CCEEFF"/>
          </w:tcPr>
          <w:p>
            <w:pPr>
              <w:ind w:left="360"/>
              <w:spacing w:after="0" w:line="234" w:lineRule="exact"/>
              <w:rPr>
                <w:sz w:val="20"/>
                <w:szCs w:val="20"/>
                <w:color w:val="auto"/>
              </w:rPr>
            </w:pPr>
            <w:r>
              <w:rPr>
                <w:rFonts w:ascii="Calibri" w:cs="Calibri" w:eastAsia="Calibri" w:hAnsi="Calibri"/>
                <w:sz w:val="20"/>
                <w:szCs w:val="20"/>
                <w:color w:val="auto"/>
              </w:rPr>
              <w:t>Adjusted EBITDA</w:t>
            </w: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13.2</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19.3%</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spacing w:after="0" w:line="234" w:lineRule="exact"/>
              <w:rPr>
                <w:sz w:val="20"/>
                <w:szCs w:val="20"/>
                <w:color w:val="auto"/>
              </w:rPr>
            </w:pPr>
            <w:r>
              <w:rPr>
                <w:rFonts w:ascii="Calibri" w:cs="Calibri" w:eastAsia="Calibri" w:hAnsi="Calibri"/>
                <w:sz w:val="20"/>
                <w:szCs w:val="20"/>
                <w:color w:val="auto"/>
                <w:w w:val="94"/>
              </w:rPr>
              <w:t>9.6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16.9%</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b w:val="1"/>
                <w:bCs w:val="1"/>
                <w:color w:val="auto"/>
              </w:rPr>
              <w:t>Milk Makeup</w:t>
            </w: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360"/>
              <w:spacing w:after="0" w:line="234" w:lineRule="exact"/>
              <w:rPr>
                <w:sz w:val="20"/>
                <w:szCs w:val="20"/>
                <w:color w:val="auto"/>
              </w:rPr>
            </w:pPr>
            <w:r>
              <w:rPr>
                <w:rFonts w:ascii="Calibri" w:cs="Calibri" w:eastAsia="Calibri" w:hAnsi="Calibri"/>
                <w:sz w:val="20"/>
                <w:szCs w:val="20"/>
                <w:color w:val="auto"/>
              </w:rPr>
              <w:t>Net Revenue</w:t>
            </w: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63.2</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100.0%</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20.8%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rPr>
              <w:t>52.3</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100.0%</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360"/>
              <w:spacing w:after="0" w:line="234" w:lineRule="exact"/>
              <w:rPr>
                <w:sz w:val="20"/>
                <w:szCs w:val="20"/>
                <w:color w:val="auto"/>
              </w:rPr>
            </w:pPr>
            <w:r>
              <w:rPr>
                <w:rFonts w:ascii="Calibri" w:cs="Calibri" w:eastAsia="Calibri" w:hAnsi="Calibri"/>
                <w:sz w:val="20"/>
                <w:szCs w:val="20"/>
                <w:color w:val="auto"/>
              </w:rPr>
              <w:t>Adjusted Gross Proft</w:t>
            </w: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44.6</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70.6%</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29.2%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line="234" w:lineRule="exact"/>
              <w:rPr>
                <w:sz w:val="20"/>
                <w:szCs w:val="20"/>
                <w:color w:val="auto"/>
              </w:rPr>
            </w:pPr>
            <w:r>
              <w:rPr>
                <w:rFonts w:ascii="Calibri" w:cs="Calibri" w:eastAsia="Calibri" w:hAnsi="Calibri"/>
                <w:sz w:val="20"/>
                <w:szCs w:val="20"/>
                <w:color w:val="auto"/>
              </w:rPr>
              <w:t>66.0%</w:t>
            </w:r>
          </w:p>
        </w:tc>
        <w:tc>
          <w:tcPr>
            <w:tcW w:w="0" w:type="dxa"/>
            <w:vAlign w:val="bottom"/>
          </w:tcPr>
          <w:p>
            <w:pPr>
              <w:spacing w:after="0"/>
              <w:rPr>
                <w:sz w:val="1"/>
                <w:szCs w:val="1"/>
                <w:color w:val="auto"/>
              </w:rPr>
            </w:pPr>
          </w:p>
        </w:tc>
      </w:tr>
      <w:tr>
        <w:trPr>
          <w:trHeight w:val="234"/>
        </w:trPr>
        <w:tc>
          <w:tcPr>
            <w:tcW w:w="3320" w:type="dxa"/>
            <w:vAlign w:val="bottom"/>
            <w:gridSpan w:val="2"/>
          </w:tcPr>
          <w:p>
            <w:pPr>
              <w:ind w:left="360"/>
              <w:spacing w:after="0" w:line="234" w:lineRule="exact"/>
              <w:rPr>
                <w:sz w:val="20"/>
                <w:szCs w:val="20"/>
                <w:color w:val="auto"/>
              </w:rPr>
            </w:pPr>
            <w:r>
              <w:rPr>
                <w:rFonts w:ascii="Calibri" w:cs="Calibri" w:eastAsia="Calibri" w:hAnsi="Calibri"/>
                <w:sz w:val="20"/>
                <w:szCs w:val="20"/>
                <w:color w:val="auto"/>
              </w:rPr>
              <w:t>Adjusted EBITDA</w:t>
            </w: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15.7</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24.9%</w:t>
            </w:r>
          </w:p>
        </w:tc>
        <w:tc>
          <w:tcPr>
            <w:tcW w:w="80" w:type="dxa"/>
            <w:vAlign w:val="bottom"/>
          </w:tcPr>
          <w:p>
            <w:pPr>
              <w:spacing w:after="0"/>
              <w:rPr>
                <w:sz w:val="20"/>
                <w:szCs w:val="20"/>
                <w:color w:val="auto"/>
              </w:rPr>
            </w:pPr>
          </w:p>
        </w:tc>
        <w:tc>
          <w:tcPr>
            <w:tcW w:w="1240" w:type="dxa"/>
            <w:vAlign w:val="bottom"/>
          </w:tcPr>
          <w:p>
            <w:pPr>
              <w:jc w:val="center"/>
              <w:spacing w:after="0" w:line="234" w:lineRule="exact"/>
              <w:rPr>
                <w:sz w:val="20"/>
                <w:szCs w:val="20"/>
                <w:color w:val="auto"/>
              </w:rPr>
            </w:pPr>
            <w:r>
              <w:rPr>
                <w:rFonts w:ascii="Calibri" w:cs="Calibri" w:eastAsia="Calibri" w:hAnsi="Calibri"/>
                <w:sz w:val="20"/>
                <w:szCs w:val="20"/>
                <w:color w:val="auto"/>
              </w:rPr>
              <w:t>23.4%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center"/>
              <w:spacing w:after="0" w:line="234" w:lineRule="exact"/>
              <w:rPr>
                <w:sz w:val="20"/>
                <w:szCs w:val="20"/>
                <w:color w:val="auto"/>
              </w:rPr>
            </w:pPr>
            <w:r>
              <w:rPr>
                <w:rFonts w:ascii="Calibri" w:cs="Calibri" w:eastAsia="Calibri" w:hAnsi="Calibri"/>
                <w:sz w:val="20"/>
                <w:szCs w:val="20"/>
                <w:color w:val="auto"/>
              </w:rPr>
              <w:t>12.7</w:t>
            </w:r>
          </w:p>
        </w:tc>
        <w:tc>
          <w:tcPr>
            <w:tcW w:w="100" w:type="dxa"/>
            <w:vAlign w:val="bottom"/>
          </w:tcPr>
          <w:p>
            <w:pPr>
              <w:spacing w:after="0"/>
              <w:rPr>
                <w:sz w:val="20"/>
                <w:szCs w:val="20"/>
                <w:color w:val="auto"/>
              </w:rPr>
            </w:pPr>
          </w:p>
        </w:tc>
        <w:tc>
          <w:tcPr>
            <w:tcW w:w="1220" w:type="dxa"/>
            <w:vAlign w:val="bottom"/>
          </w:tcPr>
          <w:p>
            <w:pPr>
              <w:jc w:val="center"/>
              <w:spacing w:after="0" w:line="234" w:lineRule="exact"/>
              <w:rPr>
                <w:sz w:val="20"/>
                <w:szCs w:val="20"/>
                <w:color w:val="auto"/>
              </w:rPr>
            </w:pPr>
            <w:r>
              <w:rPr>
                <w:rFonts w:ascii="Calibri" w:cs="Calibri" w:eastAsia="Calibri" w:hAnsi="Calibri"/>
                <w:sz w:val="20"/>
                <w:szCs w:val="20"/>
                <w:color w:val="auto"/>
              </w:rPr>
              <w:t>24.4%</w:t>
            </w:r>
          </w:p>
        </w:tc>
        <w:tc>
          <w:tcPr>
            <w:tcW w:w="0" w:type="dxa"/>
            <w:vAlign w:val="bottom"/>
          </w:tcPr>
          <w:p>
            <w:pPr>
              <w:spacing w:after="0"/>
              <w:rPr>
                <w:sz w:val="1"/>
                <w:szCs w:val="1"/>
                <w:color w:val="auto"/>
              </w:rPr>
            </w:pPr>
          </w:p>
        </w:tc>
      </w:tr>
      <w:tr>
        <w:trPr>
          <w:trHeight w:val="22"/>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 and Webcast Informaton</w:t>
      </w:r>
    </w:p>
    <w:p>
      <w:pPr>
        <w:spacing w:after="0" w:line="63"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181818"/>
        </w:rPr>
        <w:t>Waldencast will host a conference call to discuss its second quarter results ended June 30, 2024, tomorrow, August 28, 2024, at 8:30 AM ET. Those interested in partcipatng in the conference call are invited to dial (877) 704-4453. Internatonal callers may dial (201) 389-0920. A live webcast of the conference call will include a slide presentaton and will be available online at htps://ir.waldencast.com/. A replay of the webcast will remain available on the website untl the Company's next conference call. The informaton accessible on, or through, our website is not incorporated by reference into this release.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910" w:right="339" w:bottom="1440" w:gutter="0" w:footer="0" w:header="0"/>
        </w:sectPr>
      </w:pPr>
    </w:p>
    <w:bookmarkStart w:id="8" w:name="page9"/>
    <w:bookmarkEnd w:id="8"/>
    <w:p>
      <w:pPr>
        <w:spacing w:after="0"/>
        <w:rPr>
          <w:sz w:val="20"/>
          <w:szCs w:val="20"/>
          <w:color w:val="auto"/>
        </w:rPr>
      </w:pPr>
      <w:r>
        <w:rPr>
          <w:rFonts w:ascii="Calibri" w:cs="Calibri" w:eastAsia="Calibri" w:hAnsi="Calibri"/>
          <w:sz w:val="22"/>
          <w:szCs w:val="22"/>
          <w:b w:val="1"/>
          <w:bCs w:val="1"/>
          <w:u w:val="single" w:color="auto"/>
          <w:color w:val="auto"/>
        </w:rPr>
        <w:t>Non-GAAP Financial Measures</w:t>
      </w:r>
    </w:p>
    <w:p>
      <w:pPr>
        <w:spacing w:after="0" w:line="354" w:lineRule="exact"/>
        <w:rPr>
          <w:sz w:val="20"/>
          <w:szCs w:val="20"/>
          <w:color w:val="auto"/>
        </w:rPr>
      </w:pPr>
    </w:p>
    <w:p>
      <w:pPr>
        <w:ind w:right="140"/>
        <w:spacing w:after="0" w:line="233" w:lineRule="auto"/>
        <w:rPr>
          <w:sz w:val="20"/>
          <w:szCs w:val="20"/>
          <w:color w:val="auto"/>
        </w:rPr>
      </w:pPr>
      <w:r>
        <w:rPr>
          <w:rFonts w:ascii="Calibri" w:cs="Calibri" w:eastAsia="Calibri" w:hAnsi="Calibri"/>
          <w:sz w:val="20"/>
          <w:szCs w:val="20"/>
          <w:i w:val="1"/>
          <w:iCs w:val="1"/>
          <w:color w:val="auto"/>
        </w:rPr>
        <w:t xml:space="preserve">In additon to the fnancial measures presented in this release in accordance with </w:t>
      </w:r>
      <w:r>
        <w:rPr>
          <w:rFonts w:ascii="Calibri" w:cs="Calibri" w:eastAsia="Calibri" w:hAnsi="Calibri"/>
          <w:sz w:val="20"/>
          <w:szCs w:val="20"/>
          <w:i w:val="1"/>
          <w:iCs w:val="1"/>
          <w:color w:val="181818"/>
        </w:rPr>
        <w:t>U.S. GAAP,</w:t>
      </w:r>
      <w:r>
        <w:rPr>
          <w:rFonts w:ascii="Calibri" w:cs="Calibri" w:eastAsia="Calibri" w:hAnsi="Calibri"/>
          <w:sz w:val="20"/>
          <w:szCs w:val="20"/>
          <w:i w:val="1"/>
          <w:iCs w:val="1"/>
          <w:color w:val="auto"/>
        </w:rPr>
        <w:t xml:space="preserve"> Waldencast separately reports fnancial results on the basis of the measures set out and defned below which are non-GAAP fnancial measures. </w:t>
      </w:r>
      <w:r>
        <w:rPr>
          <w:rFonts w:ascii="Calibri" w:cs="Calibri" w:eastAsia="Calibri" w:hAnsi="Calibri"/>
          <w:sz w:val="20"/>
          <w:szCs w:val="20"/>
          <w:i w:val="1"/>
          <w:iCs w:val="1"/>
          <w:color w:val="181818"/>
        </w:rPr>
        <w:t>Waldencast</w:t>
      </w:r>
      <w:r>
        <w:rPr>
          <w:rFonts w:ascii="Calibri" w:cs="Calibri" w:eastAsia="Calibri" w:hAnsi="Calibri"/>
          <w:sz w:val="20"/>
          <w:szCs w:val="20"/>
          <w:i w:val="1"/>
          <w:iCs w:val="1"/>
          <w:color w:val="auto"/>
        </w:rPr>
        <w:t xml:space="preserve"> believes the non-GAAP measures used in this release provide useful informaton to management and investors regarding certain fnancial and business trends relatng to its fnancial conditon and results of operatons. Waldencast believes that the use of these non-GAAP fnancial measures provides an additonal tool for investors to use in evaluatng ongoing operatng results and trends. These non-GAAP measures also provide perspectve on how Waldencast’s management evaluates and monitors the performance of the business.</w:t>
      </w:r>
    </w:p>
    <w:p>
      <w:pPr>
        <w:spacing w:after="0" w:line="225" w:lineRule="exact"/>
        <w:rPr>
          <w:sz w:val="20"/>
          <w:szCs w:val="20"/>
          <w:color w:val="auto"/>
        </w:rPr>
      </w:pPr>
    </w:p>
    <w:p>
      <w:pPr>
        <w:jc w:val="both"/>
        <w:ind w:right="20"/>
        <w:spacing w:after="0" w:line="233" w:lineRule="auto"/>
        <w:rPr>
          <w:sz w:val="20"/>
          <w:szCs w:val="20"/>
          <w:color w:val="auto"/>
        </w:rPr>
      </w:pPr>
      <w:r>
        <w:rPr>
          <w:rFonts w:ascii="Calibri" w:cs="Calibri" w:eastAsia="Calibri" w:hAnsi="Calibri"/>
          <w:sz w:val="20"/>
          <w:szCs w:val="20"/>
          <w:i w:val="1"/>
          <w:iCs w:val="1"/>
          <w:color w:val="auto"/>
        </w:rPr>
        <w:t>There are limitatons to non-GAAP fnancial measures because they exclude charges and credits that are required to be included in GAAP fnancial presentaton. The items excluded from GAAP fnancial measures such as net income/loss to arrive at non-GAAP fnancial measures are signifcant components for understanding and assessing our fnancial performance. Non-GAAP fnancial measures should be considered together with, and not alternatves to, fnancial measures prepared in accordance with GAAP.</w:t>
      </w:r>
    </w:p>
    <w:p>
      <w:pPr>
        <w:spacing w:after="0" w:line="213"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i w:val="1"/>
          <w:iCs w:val="1"/>
          <w:color w:val="auto"/>
        </w:rPr>
        <w:t>Please refer to defnitons set out in the release and the tables included in this release for a reconciliaton of these metrics to the most directly comparable GAAP fnancial measures.</w:t>
      </w:r>
    </w:p>
    <w:p>
      <w:pPr>
        <w:spacing w:after="0" w:line="212"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b w:val="1"/>
          <w:bCs w:val="1"/>
          <w:color w:val="auto"/>
        </w:rPr>
        <w:t xml:space="preserve">Comparable Net Revenue </w:t>
      </w:r>
      <w:r>
        <w:rPr>
          <w:rFonts w:ascii="Calibri" w:cs="Calibri" w:eastAsia="Calibri" w:hAnsi="Calibri"/>
          <w:sz w:val="20"/>
          <w:szCs w:val="20"/>
          <w:color w:val="auto"/>
        </w:rPr>
        <w:t>is defned as Net Revenue excluding sales related to the former Obagi Medical China business, which was not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acquired by Waldencast at the tme of the Business Combinaton (the “Obagi Medical China Business”) as was presented in previous earnings releases. The sales to the Obagi Medical China business have a below market sales price for a defned period of tme afer the acquisiton of Obagi Medical. As a result of the acquisiton, a below market contract liability was recognized and is amortzed based on sales. This adjustment is shown in the Adjusted EBITDA reconciliaton. Management believes that this non-GAAP measures provides perspectve on how Waldencast’s management evaluates and monitors the performance of the business. See reconciliaton to U.S. GAAP Net Revenue in the Appendix.</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Comparable Growth </w:t>
      </w:r>
      <w:r>
        <w:rPr>
          <w:rFonts w:ascii="Calibri" w:cs="Calibri" w:eastAsia="Calibri" w:hAnsi="Calibri"/>
          <w:sz w:val="20"/>
          <w:szCs w:val="20"/>
          <w:color w:val="auto"/>
        </w:rPr>
        <w:t>is defned as the growth in Comparable Net Revenue period over period expressed as a percentage.</w:t>
      </w:r>
    </w:p>
    <w:p>
      <w:pPr>
        <w:spacing w:after="0" w:line="225"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0"/>
          <w:szCs w:val="20"/>
          <w:b w:val="1"/>
          <w:bCs w:val="1"/>
          <w:color w:val="181818"/>
        </w:rPr>
        <w:t xml:space="preserve">Adjusted Gross Proft </w:t>
      </w:r>
      <w:r>
        <w:rPr>
          <w:rFonts w:ascii="Calibri" w:cs="Calibri" w:eastAsia="Calibri" w:hAnsi="Calibri"/>
          <w:sz w:val="20"/>
          <w:szCs w:val="20"/>
          <w:color w:val="181818"/>
        </w:rPr>
        <w:t>is defned as GAAP gross proft excluding the impact of inventory fair value adjustments, amortzaton of the</w:t>
      </w:r>
      <w:r>
        <w:rPr>
          <w:rFonts w:ascii="Calibri" w:cs="Calibri" w:eastAsia="Calibri" w:hAnsi="Calibri"/>
          <w:sz w:val="20"/>
          <w:szCs w:val="20"/>
          <w:b w:val="1"/>
          <w:bCs w:val="1"/>
          <w:color w:val="181818"/>
        </w:rPr>
        <w:t xml:space="preserve"> </w:t>
      </w:r>
      <w:r>
        <w:rPr>
          <w:rFonts w:ascii="Calibri" w:cs="Calibri" w:eastAsia="Calibri" w:hAnsi="Calibri"/>
          <w:sz w:val="20"/>
          <w:szCs w:val="20"/>
          <w:color w:val="181818"/>
        </w:rPr>
        <w:t>supply agreement and formulaton intangible assets, and the amortzaton of the fair value of the related party liability the Obagi Medical China Business. The Adjusted Gross Proft reconciliaton by Segment for each period is included in the Appendix.</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181818"/>
        </w:rPr>
        <w:t xml:space="preserve">Adjusted Gross Margin </w:t>
      </w:r>
      <w:r>
        <w:rPr>
          <w:rFonts w:ascii="Calibri" w:cs="Calibri" w:eastAsia="Calibri" w:hAnsi="Calibri"/>
          <w:sz w:val="20"/>
          <w:szCs w:val="20"/>
          <w:color w:val="181818"/>
        </w:rPr>
        <w:t>is defned as Adjusted Gross Proft divided by GAAP Net Revenue.</w:t>
      </w:r>
    </w:p>
    <w:p>
      <w:pPr>
        <w:spacing w:after="0" w:line="211"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181818"/>
        </w:rPr>
        <w:t xml:space="preserve">Adjusted EBITDA </w:t>
      </w:r>
      <w:r>
        <w:rPr>
          <w:rFonts w:ascii="Calibri" w:cs="Calibri" w:eastAsia="Calibri" w:hAnsi="Calibri"/>
          <w:sz w:val="20"/>
          <w:szCs w:val="20"/>
          <w:color w:val="181818"/>
        </w:rPr>
        <w:t>is defned as GAAP net income (loss) before interest income or expense, income tax (beneft) expense, depreciaton</w:t>
      </w:r>
      <w:r>
        <w:rPr>
          <w:rFonts w:ascii="Calibri" w:cs="Calibri" w:eastAsia="Calibri" w:hAnsi="Calibri"/>
          <w:sz w:val="20"/>
          <w:szCs w:val="20"/>
          <w:b w:val="1"/>
          <w:bCs w:val="1"/>
          <w:color w:val="181818"/>
        </w:rPr>
        <w:t xml:space="preserve"> </w:t>
      </w:r>
      <w:r>
        <w:rPr>
          <w:rFonts w:ascii="Calibri" w:cs="Calibri" w:eastAsia="Calibri" w:hAnsi="Calibri"/>
          <w:sz w:val="20"/>
          <w:szCs w:val="20"/>
          <w:color w:val="181818"/>
        </w:rPr>
        <w:t>and amortzaton, and further adjusted for the items as described in the reconciliaton below. We believe this informaton will be useful for investors to facilitate comparisons of our operatng performance and beter identfy trends in our business. Adjusted EBITDA excludes certain expenses that are required to be presented in accordance with GAAP because management believes they are non-core to our regular business. These include non-cash expenses, such as depreciaton and amortzaton, stock-based compensaton, inventory fair value adjustments, the amortzaton of fair value of the related party liability to the Obagi Medical China Business, change in fair value of fnancial instruments, loss on impairment of leases, and foreign currency transacton loss (gain). In additon, adjustments include expenses that are not related to our underlying business performance including (1) legal, advisory and consultant fees related to the fnancial restatement of previously issued fnancial statements and associated regulatory investgaton; (2) costs to recover and the value of the inventory recovered from the acquisiton of the Vietnam distributor, and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910" w:right="339" w:bottom="1440" w:gutter="0" w:footer="0" w:header="0"/>
        </w:sectPr>
      </w:pPr>
    </w:p>
    <w:bookmarkStart w:id="9" w:name="page10"/>
    <w:bookmarkEnd w:id="9"/>
    <w:p>
      <w:pPr>
        <w:spacing w:after="0" w:line="234" w:lineRule="auto"/>
        <w:rPr>
          <w:sz w:val="20"/>
          <w:szCs w:val="20"/>
          <w:color w:val="auto"/>
        </w:rPr>
      </w:pPr>
      <w:r>
        <w:rPr>
          <w:rFonts w:ascii="Calibri" w:cs="Calibri" w:eastAsia="Calibri" w:hAnsi="Calibri"/>
          <w:sz w:val="20"/>
          <w:szCs w:val="20"/>
          <w:color w:val="181818"/>
        </w:rPr>
        <w:t>associated discontnued product; and (3) other non-recurring costs, primarily legal setlement costs. The Adjusted EBITDA by Segment for each period is included in the Appendix.</w:t>
      </w:r>
    </w:p>
    <w:p>
      <w:pPr>
        <w:spacing w:after="0" w:line="226" w:lineRule="exact"/>
        <w:rPr>
          <w:sz w:val="20"/>
          <w:szCs w:val="20"/>
          <w:color w:val="auto"/>
        </w:rPr>
      </w:pPr>
    </w:p>
    <w:p>
      <w:pPr>
        <w:spacing w:after="0" w:line="242" w:lineRule="auto"/>
        <w:rPr>
          <w:sz w:val="20"/>
          <w:szCs w:val="20"/>
          <w:color w:val="auto"/>
        </w:rPr>
      </w:pPr>
      <w:r>
        <w:rPr>
          <w:rFonts w:ascii="Calibri" w:cs="Calibri" w:eastAsia="Calibri" w:hAnsi="Calibri"/>
          <w:sz w:val="20"/>
          <w:szCs w:val="20"/>
          <w:b w:val="1"/>
          <w:bCs w:val="1"/>
          <w:color w:val="181818"/>
        </w:rPr>
        <w:t xml:space="preserve">Adjusted EBITDA Margin </w:t>
      </w:r>
      <w:r>
        <w:rPr>
          <w:rFonts w:ascii="Calibri" w:cs="Calibri" w:eastAsia="Calibri" w:hAnsi="Calibri"/>
          <w:sz w:val="20"/>
          <w:szCs w:val="20"/>
          <w:color w:val="181818"/>
        </w:rPr>
        <w:t>is defned as Adjusted EBITDA as a percentage of net revenue. The Adjusted EBITDA Margin reconciliaton by</w:t>
      </w:r>
      <w:r>
        <w:rPr>
          <w:rFonts w:ascii="Calibri" w:cs="Calibri" w:eastAsia="Calibri" w:hAnsi="Calibri"/>
          <w:sz w:val="20"/>
          <w:szCs w:val="20"/>
          <w:b w:val="1"/>
          <w:bCs w:val="1"/>
          <w:color w:val="181818"/>
        </w:rPr>
        <w:t xml:space="preserve"> </w:t>
      </w:r>
      <w:r>
        <w:rPr>
          <w:rFonts w:ascii="Calibri" w:cs="Calibri" w:eastAsia="Calibri" w:hAnsi="Calibri"/>
          <w:sz w:val="20"/>
          <w:szCs w:val="20"/>
          <w:color w:val="181818"/>
        </w:rPr>
        <w:t>Segment for each period is included in the Appendix.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center"/>
              <w:ind w:right="21"/>
              <w:spacing w:after="0"/>
              <w:rPr>
                <w:sz w:val="20"/>
                <w:szCs w:val="20"/>
                <w:color w:val="auto"/>
              </w:rPr>
            </w:pPr>
            <w:r>
              <w:rPr>
                <w:rFonts w:ascii="Calibri" w:cs="Calibri" w:eastAsia="Calibri" w:hAnsi="Calibri"/>
                <w:sz w:val="20"/>
                <w:szCs w:val="20"/>
                <w:b w:val="1"/>
                <w:bCs w:val="1"/>
                <w:color w:val="auto"/>
              </w:rPr>
              <w:t>Three Months</w:t>
            </w:r>
          </w:p>
        </w:tc>
        <w:tc>
          <w:tcPr>
            <w:tcW w:w="240" w:type="dxa"/>
            <w:vAlign w:val="bottom"/>
          </w:tcPr>
          <w:p>
            <w:pPr>
              <w:spacing w:after="0"/>
              <w:rPr>
                <w:sz w:val="21"/>
                <w:szCs w:val="21"/>
                <w:color w:val="auto"/>
              </w:rPr>
            </w:pPr>
          </w:p>
        </w:tc>
        <w:tc>
          <w:tcPr>
            <w:tcW w:w="1420" w:type="dxa"/>
            <w:vAlign w:val="bottom"/>
          </w:tcPr>
          <w:p>
            <w:pPr>
              <w:jc w:val="center"/>
              <w:ind w:right="21"/>
              <w:spacing w:after="0"/>
              <w:rPr>
                <w:sz w:val="20"/>
                <w:szCs w:val="20"/>
                <w:color w:val="auto"/>
              </w:rPr>
            </w:pPr>
            <w:r>
              <w:rPr>
                <w:rFonts w:ascii="Calibri" w:cs="Calibri" w:eastAsia="Calibri" w:hAnsi="Calibri"/>
                <w:sz w:val="20"/>
                <w:szCs w:val="20"/>
                <w:b w:val="1"/>
                <w:bCs w:val="1"/>
                <w:color w:val="auto"/>
              </w:rPr>
              <w:t>Three Months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21"/>
              <w:spacing w:after="0" w:line="203" w:lineRule="exact"/>
              <w:rPr>
                <w:sz w:val="20"/>
                <w:szCs w:val="20"/>
                <w:color w:val="auto"/>
              </w:rPr>
            </w:pPr>
            <w:r>
              <w:rPr>
                <w:rFonts w:ascii="Calibri" w:cs="Calibri" w:eastAsia="Calibri" w:hAnsi="Calibri"/>
                <w:sz w:val="20"/>
                <w:szCs w:val="20"/>
                <w:b w:val="1"/>
                <w:bCs w:val="1"/>
                <w:color w:val="auto"/>
              </w:rPr>
              <w:t>Ended June 30,</w:t>
            </w:r>
          </w:p>
        </w:tc>
        <w:tc>
          <w:tcPr>
            <w:tcW w:w="240" w:type="dxa"/>
            <w:vAlign w:val="bottom"/>
          </w:tcPr>
          <w:p>
            <w:pPr>
              <w:spacing w:after="0"/>
              <w:rPr>
                <w:sz w:val="17"/>
                <w:szCs w:val="17"/>
                <w:color w:val="auto"/>
              </w:rPr>
            </w:pPr>
          </w:p>
        </w:tc>
        <w:tc>
          <w:tcPr>
            <w:tcW w:w="1420" w:type="dxa"/>
            <w:vAlign w:val="bottom"/>
          </w:tcPr>
          <w:p>
            <w:pPr>
              <w:jc w:val="center"/>
              <w:ind w:right="21"/>
              <w:spacing w:after="0" w:line="203" w:lineRule="exact"/>
              <w:rPr>
                <w:sz w:val="20"/>
                <w:szCs w:val="20"/>
                <w:color w:val="auto"/>
              </w:rPr>
            </w:pPr>
            <w:r>
              <w:rPr>
                <w:rFonts w:ascii="Calibri" w:cs="Calibri" w:eastAsia="Calibri" w:hAnsi="Calibri"/>
                <w:sz w:val="20"/>
                <w:szCs w:val="20"/>
                <w:b w:val="1"/>
                <w:bCs w:val="1"/>
                <w:color w:val="auto"/>
              </w:rPr>
              <w:t>Ended June 30,</w:t>
            </w:r>
          </w:p>
        </w:tc>
        <w:tc>
          <w:tcPr>
            <w:tcW w:w="1720" w:type="dxa"/>
            <w:vAlign w:val="bottom"/>
            <w:gridSpan w:val="2"/>
          </w:tcPr>
          <w:p>
            <w:pPr>
              <w:ind w:left="140"/>
              <w:spacing w:after="0" w:line="203" w:lineRule="exact"/>
              <w:rPr>
                <w:sz w:val="20"/>
                <w:szCs w:val="20"/>
                <w:color w:val="auto"/>
              </w:rPr>
            </w:pPr>
            <w:r>
              <w:rPr>
                <w:rFonts w:ascii="Calibri" w:cs="Calibri" w:eastAsia="Calibri" w:hAnsi="Calibri"/>
                <w:sz w:val="20"/>
                <w:szCs w:val="20"/>
                <w:b w:val="1"/>
                <w:bCs w:val="1"/>
                <w:color w:val="auto"/>
              </w:rPr>
              <w:t>Six months ended</w:t>
            </w:r>
          </w:p>
        </w:tc>
        <w:tc>
          <w:tcPr>
            <w:tcW w:w="1640" w:type="dxa"/>
            <w:vAlign w:val="bottom"/>
            <w:gridSpan w:val="2"/>
          </w:tcPr>
          <w:p>
            <w:pPr>
              <w:ind w:left="100"/>
              <w:spacing w:after="0" w:line="203" w:lineRule="exact"/>
              <w:rPr>
                <w:sz w:val="20"/>
                <w:szCs w:val="20"/>
                <w:color w:val="auto"/>
              </w:rPr>
            </w:pPr>
            <w:r>
              <w:rPr>
                <w:rFonts w:ascii="Calibri" w:cs="Calibri" w:eastAsia="Calibri" w:hAnsi="Calibri"/>
                <w:sz w:val="20"/>
                <w:szCs w:val="20"/>
                <w:b w:val="1"/>
                <w:bCs w:val="1"/>
                <w:color w:val="auto"/>
              </w:rPr>
              <w:t>Six months ended</w:t>
            </w:r>
          </w:p>
        </w:tc>
        <w:tc>
          <w:tcPr>
            <w:tcW w:w="0" w:type="dxa"/>
            <w:vAlign w:val="bottom"/>
          </w:tcPr>
          <w:p>
            <w:pPr>
              <w:spacing w:after="0"/>
              <w:rPr>
                <w:sz w:val="1"/>
                <w:szCs w:val="1"/>
                <w:color w:val="auto"/>
              </w:rPr>
            </w:pPr>
          </w:p>
        </w:tc>
      </w:tr>
      <w:tr>
        <w:trPr>
          <w:trHeight w:val="240"/>
        </w:trPr>
        <w:tc>
          <w:tcPr>
            <w:tcW w:w="4660" w:type="dxa"/>
            <w:vAlign w:val="bottom"/>
            <w:gridSpan w:val="2"/>
          </w:tcPr>
          <w:p>
            <w:pPr>
              <w:ind w:left="20"/>
              <w:spacing w:after="0"/>
              <w:rPr>
                <w:sz w:val="20"/>
                <w:szCs w:val="20"/>
                <w:color w:val="auto"/>
              </w:rPr>
            </w:pPr>
            <w:r>
              <w:rPr>
                <w:rFonts w:ascii="Calibri" w:cs="Calibri" w:eastAsia="Calibri" w:hAnsi="Calibri"/>
                <w:sz w:val="16"/>
                <w:szCs w:val="16"/>
                <w:i w:val="1"/>
                <w:iCs w:val="1"/>
                <w:color w:val="auto"/>
              </w:rPr>
              <w:t>(In thousands, except for percentages)</w:t>
            </w:r>
          </w:p>
        </w:tc>
        <w:tc>
          <w:tcPr>
            <w:tcW w:w="140" w:type="dxa"/>
            <w:vAlign w:val="bottom"/>
          </w:tcPr>
          <w:p>
            <w:pPr>
              <w:spacing w:after="0"/>
              <w:rPr>
                <w:sz w:val="20"/>
                <w:szCs w:val="20"/>
                <w:color w:val="auto"/>
              </w:rPr>
            </w:pPr>
          </w:p>
        </w:tc>
        <w:tc>
          <w:tcPr>
            <w:tcW w:w="1420" w:type="dxa"/>
            <w:vAlign w:val="bottom"/>
          </w:tcPr>
          <w:p>
            <w:pPr>
              <w:jc w:val="center"/>
              <w:ind w:right="21"/>
              <w:spacing w:after="0" w:line="234" w:lineRule="exact"/>
              <w:rPr>
                <w:sz w:val="20"/>
                <w:szCs w:val="20"/>
                <w:color w:val="auto"/>
              </w:rPr>
            </w:pPr>
            <w:r>
              <w:rPr>
                <w:rFonts w:ascii="Calibri" w:cs="Calibri" w:eastAsia="Calibri" w:hAnsi="Calibri"/>
                <w:sz w:val="20"/>
                <w:szCs w:val="20"/>
                <w:b w:val="1"/>
                <w:bCs w:val="1"/>
                <w:color w:val="auto"/>
              </w:rPr>
              <w:t>2024</w:t>
            </w:r>
          </w:p>
        </w:tc>
        <w:tc>
          <w:tcPr>
            <w:tcW w:w="240" w:type="dxa"/>
            <w:vAlign w:val="bottom"/>
          </w:tcPr>
          <w:p>
            <w:pPr>
              <w:spacing w:after="0"/>
              <w:rPr>
                <w:sz w:val="20"/>
                <w:szCs w:val="20"/>
                <w:color w:val="auto"/>
              </w:rPr>
            </w:pPr>
          </w:p>
        </w:tc>
        <w:tc>
          <w:tcPr>
            <w:tcW w:w="1420" w:type="dxa"/>
            <w:vAlign w:val="bottom"/>
          </w:tcPr>
          <w:p>
            <w:pPr>
              <w:jc w:val="center"/>
              <w:ind w:right="21"/>
              <w:spacing w:after="0" w:line="234" w:lineRule="exact"/>
              <w:rPr>
                <w:sz w:val="20"/>
                <w:szCs w:val="20"/>
                <w:color w:val="auto"/>
              </w:rPr>
            </w:pPr>
            <w:r>
              <w:rPr>
                <w:rFonts w:ascii="Calibri" w:cs="Calibri" w:eastAsia="Calibri" w:hAnsi="Calibri"/>
                <w:sz w:val="20"/>
                <w:szCs w:val="20"/>
                <w:b w:val="1"/>
                <w:bCs w:val="1"/>
                <w:color w:val="auto"/>
              </w:rPr>
              <w:t>2023</w:t>
            </w:r>
          </w:p>
        </w:tc>
        <w:tc>
          <w:tcPr>
            <w:tcW w:w="280" w:type="dxa"/>
            <w:vAlign w:val="bottom"/>
          </w:tcPr>
          <w:p>
            <w:pPr>
              <w:spacing w:after="0"/>
              <w:rPr>
                <w:sz w:val="20"/>
                <w:szCs w:val="20"/>
                <w:color w:val="auto"/>
              </w:rPr>
            </w:pPr>
          </w:p>
        </w:tc>
        <w:tc>
          <w:tcPr>
            <w:tcW w:w="1440" w:type="dxa"/>
            <w:vAlign w:val="bottom"/>
          </w:tcPr>
          <w:p>
            <w:pPr>
              <w:jc w:val="right"/>
              <w:ind w:right="161"/>
              <w:spacing w:after="0" w:line="234" w:lineRule="exact"/>
              <w:rPr>
                <w:sz w:val="20"/>
                <w:szCs w:val="20"/>
                <w:color w:val="auto"/>
              </w:rPr>
            </w:pPr>
            <w:r>
              <w:rPr>
                <w:rFonts w:ascii="Calibri" w:cs="Calibri" w:eastAsia="Calibri" w:hAnsi="Calibri"/>
                <w:sz w:val="20"/>
                <w:szCs w:val="20"/>
                <w:b w:val="1"/>
                <w:bCs w:val="1"/>
                <w:color w:val="auto"/>
              </w:rPr>
              <w:t>June 30, 2024</w:t>
            </w:r>
          </w:p>
        </w:tc>
        <w:tc>
          <w:tcPr>
            <w:tcW w:w="220" w:type="dxa"/>
            <w:vAlign w:val="bottom"/>
          </w:tcPr>
          <w:p>
            <w:pPr>
              <w:spacing w:after="0"/>
              <w:rPr>
                <w:sz w:val="20"/>
                <w:szCs w:val="20"/>
                <w:color w:val="auto"/>
              </w:rPr>
            </w:pPr>
          </w:p>
        </w:tc>
        <w:tc>
          <w:tcPr>
            <w:tcW w:w="1420" w:type="dxa"/>
            <w:vAlign w:val="bottom"/>
          </w:tcPr>
          <w:p>
            <w:pPr>
              <w:jc w:val="right"/>
              <w:ind w:right="121"/>
              <w:spacing w:after="0" w:line="234" w:lineRule="exact"/>
              <w:rPr>
                <w:sz w:val="20"/>
                <w:szCs w:val="20"/>
                <w:color w:val="auto"/>
              </w:rPr>
            </w:pPr>
            <w:r>
              <w:rPr>
                <w:rFonts w:ascii="Calibri" w:cs="Calibri" w:eastAsia="Calibri" w:hAnsi="Calibri"/>
                <w:sz w:val="20"/>
                <w:szCs w:val="20"/>
                <w:b w:val="1"/>
                <w:bCs w:val="1"/>
                <w:color w:val="auto"/>
              </w:rPr>
              <w:t>June 30, 2023</w:t>
            </w:r>
          </w:p>
        </w:tc>
        <w:tc>
          <w:tcPr>
            <w:tcW w:w="0" w:type="dxa"/>
            <w:vAlign w:val="bottom"/>
          </w:tcPr>
          <w:p>
            <w:pPr>
              <w:spacing w:after="0"/>
              <w:rPr>
                <w:sz w:val="1"/>
                <w:szCs w:val="1"/>
                <w:color w:val="auto"/>
              </w:rPr>
            </w:pPr>
          </w:p>
        </w:tc>
      </w:tr>
      <w:tr>
        <w:trPr>
          <w:trHeight w:val="28"/>
        </w:trPr>
        <w:tc>
          <w:tcPr>
            <w:tcW w:w="4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b w:val="1"/>
                <w:bCs w:val="1"/>
                <w:color w:val="auto"/>
              </w:rPr>
              <w:t>Net Loss</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20" w:type="dxa"/>
            <w:vAlign w:val="bottom"/>
            <w:tcBorders>
              <w:bottom w:val="single" w:sz="8" w:color="CCEEFF"/>
            </w:tcBorders>
            <w:shd w:val="clear" w:color="auto" w:fill="CCEEFF"/>
          </w:tcPr>
          <w:p>
            <w:pPr>
              <w:jc w:val="right"/>
              <w:ind w:right="61"/>
              <w:spacing w:after="0" w:line="228" w:lineRule="exact"/>
              <w:rPr>
                <w:sz w:val="20"/>
                <w:szCs w:val="20"/>
                <w:color w:val="auto"/>
              </w:rPr>
            </w:pPr>
            <w:r>
              <w:rPr>
                <w:rFonts w:ascii="Calibri" w:cs="Calibri" w:eastAsia="Calibri" w:hAnsi="Calibri"/>
                <w:sz w:val="20"/>
                <w:szCs w:val="20"/>
                <w:color w:val="auto"/>
              </w:rPr>
              <w:t>(9,012)</w:t>
            </w:r>
          </w:p>
        </w:tc>
        <w:tc>
          <w:tcPr>
            <w:tcW w:w="2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w:t>
            </w:r>
          </w:p>
        </w:tc>
        <w:tc>
          <w:tcPr>
            <w:tcW w:w="1420" w:type="dxa"/>
            <w:vAlign w:val="bottom"/>
            <w:tcBorders>
              <w:bottom w:val="single" w:sz="8" w:color="CCEEFF"/>
            </w:tcBorders>
            <w:shd w:val="clear" w:color="auto" w:fill="CCEEFF"/>
          </w:tcPr>
          <w:p>
            <w:pPr>
              <w:jc w:val="right"/>
              <w:ind w:right="61"/>
              <w:spacing w:after="0" w:line="228" w:lineRule="exact"/>
              <w:rPr>
                <w:sz w:val="20"/>
                <w:szCs w:val="20"/>
                <w:color w:val="auto"/>
              </w:rPr>
            </w:pPr>
            <w:r>
              <w:rPr>
                <w:rFonts w:ascii="Calibri" w:cs="Calibri" w:eastAsia="Calibri" w:hAnsi="Calibri"/>
                <w:sz w:val="20"/>
                <w:szCs w:val="20"/>
                <w:color w:val="auto"/>
              </w:rPr>
              <w:t>(23,511)</w:t>
            </w:r>
          </w:p>
        </w:tc>
        <w:tc>
          <w:tcPr>
            <w:tcW w:w="280" w:type="dxa"/>
            <w:vAlign w:val="bottom"/>
            <w:tcBorders>
              <w:bottom w:val="single" w:sz="8" w:color="CCEEFF"/>
            </w:tcBorders>
            <w:shd w:val="clear" w:color="auto" w:fill="CCEEFF"/>
          </w:tcPr>
          <w:p>
            <w:pPr>
              <w:ind w:left="120"/>
              <w:spacing w:after="0" w:line="228" w:lineRule="exact"/>
              <w:rPr>
                <w:sz w:val="20"/>
                <w:szCs w:val="20"/>
                <w:color w:val="auto"/>
              </w:rPr>
            </w:pPr>
            <w:r>
              <w:rPr>
                <w:rFonts w:ascii="Calibri" w:cs="Calibri" w:eastAsia="Calibri" w:hAnsi="Calibri"/>
                <w:sz w:val="20"/>
                <w:szCs w:val="20"/>
                <w:color w:val="auto"/>
              </w:rPr>
              <w:t>$</w:t>
            </w:r>
          </w:p>
        </w:tc>
        <w:tc>
          <w:tcPr>
            <w:tcW w:w="1440" w:type="dxa"/>
            <w:vAlign w:val="bottom"/>
            <w:tcBorders>
              <w:bottom w:val="single" w:sz="8" w:color="CCEEFF"/>
            </w:tcBorders>
            <w:shd w:val="clear" w:color="auto" w:fill="CCEEFF"/>
          </w:tcPr>
          <w:p>
            <w:pPr>
              <w:jc w:val="right"/>
              <w:ind w:right="121"/>
              <w:spacing w:after="0" w:line="228" w:lineRule="exact"/>
              <w:rPr>
                <w:sz w:val="20"/>
                <w:szCs w:val="20"/>
                <w:color w:val="auto"/>
              </w:rPr>
            </w:pPr>
            <w:r>
              <w:rPr>
                <w:rFonts w:ascii="Calibri" w:cs="Calibri" w:eastAsia="Calibri" w:hAnsi="Calibri"/>
                <w:sz w:val="20"/>
                <w:szCs w:val="20"/>
                <w:color w:val="auto"/>
              </w:rPr>
              <w:t>(12,906)</w:t>
            </w:r>
          </w:p>
        </w:tc>
        <w:tc>
          <w:tcPr>
            <w:tcW w:w="220" w:type="dxa"/>
            <w:vAlign w:val="bottom"/>
            <w:tcBorders>
              <w:bottom w:val="single" w:sz="8" w:color="CCEEFF"/>
            </w:tcBorders>
            <w:shd w:val="clear" w:color="auto" w:fill="CCEEFF"/>
          </w:tcPr>
          <w:p>
            <w:pPr>
              <w:ind w:left="80"/>
              <w:spacing w:after="0" w:line="228" w:lineRule="exact"/>
              <w:rPr>
                <w:sz w:val="20"/>
                <w:szCs w:val="20"/>
                <w:color w:val="auto"/>
              </w:rPr>
            </w:pPr>
            <w:r>
              <w:rPr>
                <w:rFonts w:ascii="Calibri" w:cs="Calibri" w:eastAsia="Calibri" w:hAnsi="Calibri"/>
                <w:sz w:val="20"/>
                <w:szCs w:val="20"/>
                <w:color w:val="auto"/>
              </w:rPr>
              <w:t>$</w:t>
            </w:r>
          </w:p>
        </w:tc>
        <w:tc>
          <w:tcPr>
            <w:tcW w:w="1420" w:type="dxa"/>
            <w:vAlign w:val="bottom"/>
            <w:tcBorders>
              <w:bottom w:val="single" w:sz="8" w:color="CCEEFF"/>
            </w:tcBorders>
            <w:shd w:val="clear" w:color="auto" w:fill="CCEEFF"/>
          </w:tcPr>
          <w:p>
            <w:pPr>
              <w:jc w:val="right"/>
              <w:ind w:right="81"/>
              <w:spacing w:after="0" w:line="228" w:lineRule="exact"/>
              <w:rPr>
                <w:sz w:val="20"/>
                <w:szCs w:val="20"/>
                <w:color w:val="auto"/>
              </w:rPr>
            </w:pPr>
            <w:r>
              <w:rPr>
                <w:rFonts w:ascii="Calibri" w:cs="Calibri" w:eastAsia="Calibri" w:hAnsi="Calibri"/>
                <w:sz w:val="20"/>
                <w:szCs w:val="20"/>
                <w:color w:val="auto"/>
              </w:rPr>
              <w:t>(36,780)</w:t>
            </w:r>
          </w:p>
        </w:tc>
        <w:tc>
          <w:tcPr>
            <w:tcW w:w="0" w:type="dxa"/>
            <w:vAlign w:val="bottom"/>
          </w:tcPr>
          <w:p>
            <w:pPr>
              <w:spacing w:after="0"/>
              <w:rPr>
                <w:sz w:val="1"/>
                <w:szCs w:val="1"/>
                <w:color w:val="auto"/>
              </w:rPr>
            </w:pPr>
          </w:p>
        </w:tc>
      </w:tr>
      <w:tr>
        <w:trPr>
          <w:trHeight w:val="234"/>
        </w:trPr>
        <w:tc>
          <w:tcPr>
            <w:tcW w:w="466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Adjusted For:</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gridSpan w:val="2"/>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Depreciaton and amortzaton</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15,130</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14,634</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61"/>
              <w:spacing w:after="0" w:line="234" w:lineRule="exact"/>
              <w:rPr>
                <w:sz w:val="20"/>
                <w:szCs w:val="20"/>
                <w:color w:val="auto"/>
              </w:rPr>
            </w:pPr>
            <w:r>
              <w:rPr>
                <w:rFonts w:ascii="Calibri" w:cs="Calibri" w:eastAsia="Calibri" w:hAnsi="Calibri"/>
                <w:sz w:val="20"/>
                <w:szCs w:val="20"/>
                <w:color w:val="auto"/>
              </w:rPr>
              <w:t>30,014</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30,261</w:t>
            </w:r>
          </w:p>
        </w:tc>
        <w:tc>
          <w:tcPr>
            <w:tcW w:w="0" w:type="dxa"/>
            <w:vAlign w:val="bottom"/>
          </w:tcPr>
          <w:p>
            <w:pPr>
              <w:spacing w:after="0"/>
              <w:rPr>
                <w:sz w:val="1"/>
                <w:szCs w:val="1"/>
                <w:color w:val="auto"/>
              </w:rPr>
            </w:pPr>
          </w:p>
        </w:tc>
      </w:tr>
      <w:tr>
        <w:trPr>
          <w:trHeight w:val="234"/>
        </w:trPr>
        <w:tc>
          <w:tcPr>
            <w:tcW w:w="4660" w:type="dxa"/>
            <w:vAlign w:val="bottom"/>
            <w:gridSpan w:val="2"/>
          </w:tcPr>
          <w:p>
            <w:pPr>
              <w:ind w:left="100"/>
              <w:spacing w:after="0" w:line="234" w:lineRule="exact"/>
              <w:rPr>
                <w:sz w:val="20"/>
                <w:szCs w:val="20"/>
                <w:color w:val="auto"/>
              </w:rPr>
            </w:pPr>
            <w:r>
              <w:rPr>
                <w:rFonts w:ascii="Calibri" w:cs="Calibri" w:eastAsia="Calibri" w:hAnsi="Calibri"/>
                <w:sz w:val="20"/>
                <w:szCs w:val="20"/>
                <w:color w:val="auto"/>
              </w:rPr>
              <w:t>Interest expense, net</w:t>
            </w:r>
          </w:p>
        </w:tc>
        <w:tc>
          <w:tcPr>
            <w:tcW w:w="140" w:type="dxa"/>
            <w:vAlign w:val="bottom"/>
          </w:tcPr>
          <w:p>
            <w:pPr>
              <w:spacing w:after="0"/>
              <w:rPr>
                <w:sz w:val="20"/>
                <w:szCs w:val="20"/>
                <w:color w:val="auto"/>
              </w:rPr>
            </w:pPr>
          </w:p>
        </w:tc>
        <w:tc>
          <w:tcPr>
            <w:tcW w:w="142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4,419</w:t>
            </w:r>
          </w:p>
        </w:tc>
        <w:tc>
          <w:tcPr>
            <w:tcW w:w="240" w:type="dxa"/>
            <w:vAlign w:val="bottom"/>
          </w:tcPr>
          <w:p>
            <w:pPr>
              <w:spacing w:after="0"/>
              <w:rPr>
                <w:sz w:val="20"/>
                <w:szCs w:val="20"/>
                <w:color w:val="auto"/>
              </w:rPr>
            </w:pPr>
          </w:p>
        </w:tc>
        <w:tc>
          <w:tcPr>
            <w:tcW w:w="142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5,132</w:t>
            </w:r>
          </w:p>
        </w:tc>
        <w:tc>
          <w:tcPr>
            <w:tcW w:w="280" w:type="dxa"/>
            <w:vAlign w:val="bottom"/>
          </w:tcPr>
          <w:p>
            <w:pPr>
              <w:spacing w:after="0"/>
              <w:rPr>
                <w:sz w:val="20"/>
                <w:szCs w:val="20"/>
                <w:color w:val="auto"/>
              </w:rPr>
            </w:pPr>
          </w:p>
        </w:tc>
        <w:tc>
          <w:tcPr>
            <w:tcW w:w="1440" w:type="dxa"/>
            <w:vAlign w:val="bottom"/>
          </w:tcPr>
          <w:p>
            <w:pPr>
              <w:jc w:val="right"/>
              <w:ind w:right="161"/>
              <w:spacing w:after="0" w:line="234" w:lineRule="exact"/>
              <w:rPr>
                <w:sz w:val="20"/>
                <w:szCs w:val="20"/>
                <w:color w:val="auto"/>
              </w:rPr>
            </w:pPr>
            <w:r>
              <w:rPr>
                <w:rFonts w:ascii="Calibri" w:cs="Calibri" w:eastAsia="Calibri" w:hAnsi="Calibri"/>
                <w:sz w:val="20"/>
                <w:szCs w:val="20"/>
                <w:color w:val="auto"/>
              </w:rPr>
              <w:t>8,711</w:t>
            </w:r>
          </w:p>
        </w:tc>
        <w:tc>
          <w:tcPr>
            <w:tcW w:w="220" w:type="dxa"/>
            <w:vAlign w:val="bottom"/>
          </w:tcPr>
          <w:p>
            <w:pPr>
              <w:spacing w:after="0"/>
              <w:rPr>
                <w:sz w:val="20"/>
                <w:szCs w:val="20"/>
                <w:color w:val="auto"/>
              </w:rPr>
            </w:pPr>
          </w:p>
        </w:tc>
        <w:tc>
          <w:tcPr>
            <w:tcW w:w="142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9,611</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gridSpan w:val="2"/>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Income tax beneft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61"/>
              <w:spacing w:after="0" w:line="234" w:lineRule="exact"/>
              <w:rPr>
                <w:sz w:val="20"/>
                <w:szCs w:val="20"/>
                <w:color w:val="auto"/>
              </w:rPr>
            </w:pPr>
            <w:r>
              <w:rPr>
                <w:rFonts w:ascii="Calibri" w:cs="Calibri" w:eastAsia="Calibri" w:hAnsi="Calibri"/>
                <w:sz w:val="20"/>
                <w:szCs w:val="20"/>
                <w:color w:val="auto"/>
              </w:rPr>
              <w:t>(1,669)</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61"/>
              <w:spacing w:after="0" w:line="234" w:lineRule="exact"/>
              <w:rPr>
                <w:sz w:val="20"/>
                <w:szCs w:val="20"/>
                <w:color w:val="auto"/>
              </w:rPr>
            </w:pPr>
            <w:r>
              <w:rPr>
                <w:rFonts w:ascii="Calibri" w:cs="Calibri" w:eastAsia="Calibri" w:hAnsi="Calibri"/>
                <w:sz w:val="20"/>
                <w:szCs w:val="20"/>
                <w:color w:val="auto"/>
              </w:rPr>
              <w:t>(2,061)</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(2,353)</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81"/>
              <w:spacing w:after="0" w:line="234" w:lineRule="exact"/>
              <w:rPr>
                <w:sz w:val="20"/>
                <w:szCs w:val="20"/>
                <w:color w:val="auto"/>
              </w:rPr>
            </w:pPr>
            <w:r>
              <w:rPr>
                <w:rFonts w:ascii="Calibri" w:cs="Calibri" w:eastAsia="Calibri" w:hAnsi="Calibri"/>
                <w:sz w:val="20"/>
                <w:szCs w:val="20"/>
                <w:color w:val="auto"/>
              </w:rPr>
              <w:t>(4,509)</w:t>
            </w:r>
          </w:p>
        </w:tc>
        <w:tc>
          <w:tcPr>
            <w:tcW w:w="0" w:type="dxa"/>
            <w:vAlign w:val="bottom"/>
          </w:tcPr>
          <w:p>
            <w:pPr>
              <w:spacing w:after="0"/>
              <w:rPr>
                <w:sz w:val="1"/>
                <w:szCs w:val="1"/>
                <w:color w:val="auto"/>
              </w:rPr>
            </w:pPr>
          </w:p>
        </w:tc>
      </w:tr>
      <w:tr>
        <w:trPr>
          <w:trHeight w:val="234"/>
        </w:trPr>
        <w:tc>
          <w:tcPr>
            <w:tcW w:w="4660" w:type="dxa"/>
            <w:vAlign w:val="bottom"/>
            <w:gridSpan w:val="2"/>
          </w:tcPr>
          <w:p>
            <w:pPr>
              <w:ind w:left="100"/>
              <w:spacing w:after="0" w:line="234" w:lineRule="exact"/>
              <w:rPr>
                <w:sz w:val="20"/>
                <w:szCs w:val="20"/>
                <w:color w:val="auto"/>
              </w:rPr>
            </w:pPr>
            <w:r>
              <w:rPr>
                <w:rFonts w:ascii="Calibri" w:cs="Calibri" w:eastAsia="Calibri" w:hAnsi="Calibri"/>
                <w:sz w:val="20"/>
                <w:szCs w:val="20"/>
                <w:color w:val="auto"/>
              </w:rPr>
              <w:t>Stock-based compensaton expense</w:t>
            </w:r>
          </w:p>
        </w:tc>
        <w:tc>
          <w:tcPr>
            <w:tcW w:w="140" w:type="dxa"/>
            <w:vAlign w:val="bottom"/>
          </w:tcPr>
          <w:p>
            <w:pPr>
              <w:spacing w:after="0"/>
              <w:rPr>
                <w:sz w:val="20"/>
                <w:szCs w:val="20"/>
                <w:color w:val="auto"/>
              </w:rPr>
            </w:pPr>
          </w:p>
        </w:tc>
        <w:tc>
          <w:tcPr>
            <w:tcW w:w="142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3,468</w:t>
            </w:r>
          </w:p>
        </w:tc>
        <w:tc>
          <w:tcPr>
            <w:tcW w:w="240" w:type="dxa"/>
            <w:vAlign w:val="bottom"/>
          </w:tcPr>
          <w:p>
            <w:pPr>
              <w:spacing w:after="0"/>
              <w:rPr>
                <w:sz w:val="20"/>
                <w:szCs w:val="20"/>
                <w:color w:val="auto"/>
              </w:rPr>
            </w:pPr>
          </w:p>
        </w:tc>
        <w:tc>
          <w:tcPr>
            <w:tcW w:w="142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1,284</w:t>
            </w:r>
          </w:p>
        </w:tc>
        <w:tc>
          <w:tcPr>
            <w:tcW w:w="280" w:type="dxa"/>
            <w:vAlign w:val="bottom"/>
          </w:tcPr>
          <w:p>
            <w:pPr>
              <w:spacing w:after="0"/>
              <w:rPr>
                <w:sz w:val="20"/>
                <w:szCs w:val="20"/>
                <w:color w:val="auto"/>
              </w:rPr>
            </w:pPr>
          </w:p>
        </w:tc>
        <w:tc>
          <w:tcPr>
            <w:tcW w:w="1440" w:type="dxa"/>
            <w:vAlign w:val="bottom"/>
          </w:tcPr>
          <w:p>
            <w:pPr>
              <w:jc w:val="right"/>
              <w:ind w:right="161"/>
              <w:spacing w:after="0" w:line="234" w:lineRule="exact"/>
              <w:rPr>
                <w:sz w:val="20"/>
                <w:szCs w:val="20"/>
                <w:color w:val="auto"/>
              </w:rPr>
            </w:pPr>
            <w:r>
              <w:rPr>
                <w:rFonts w:ascii="Calibri" w:cs="Calibri" w:eastAsia="Calibri" w:hAnsi="Calibri"/>
                <w:sz w:val="20"/>
                <w:szCs w:val="20"/>
                <w:color w:val="auto"/>
              </w:rPr>
              <w:t>4,526</w:t>
            </w:r>
          </w:p>
        </w:tc>
        <w:tc>
          <w:tcPr>
            <w:tcW w:w="220" w:type="dxa"/>
            <w:vAlign w:val="bottom"/>
          </w:tcPr>
          <w:p>
            <w:pPr>
              <w:spacing w:after="0"/>
              <w:rPr>
                <w:sz w:val="20"/>
                <w:szCs w:val="20"/>
                <w:color w:val="auto"/>
              </w:rPr>
            </w:pPr>
          </w:p>
        </w:tc>
        <w:tc>
          <w:tcPr>
            <w:tcW w:w="142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5,476</w:t>
            </w:r>
          </w:p>
        </w:tc>
        <w:tc>
          <w:tcPr>
            <w:tcW w:w="0" w:type="dxa"/>
            <w:vAlign w:val="bottom"/>
          </w:tcPr>
          <w:p>
            <w:pPr>
              <w:spacing w:after="0"/>
              <w:rPr>
                <w:sz w:val="1"/>
                <w:szCs w:val="1"/>
                <w:color w:val="auto"/>
              </w:rPr>
            </w:pPr>
          </w:p>
        </w:tc>
      </w:tr>
      <w:tr>
        <w:trPr>
          <w:trHeight w:val="22"/>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gridSpan w:val="2"/>
            <w:shd w:val="clear" w:color="auto" w:fill="CCEEFF"/>
          </w:tcPr>
          <w:p>
            <w:pPr>
              <w:ind w:left="100"/>
              <w:spacing w:after="0" w:line="256" w:lineRule="exact"/>
              <w:rPr>
                <w:sz w:val="20"/>
                <w:szCs w:val="20"/>
                <w:color w:val="auto"/>
              </w:rPr>
            </w:pPr>
            <w:r>
              <w:rPr>
                <w:rFonts w:ascii="Calibri" w:cs="Calibri" w:eastAsia="Calibri" w:hAnsi="Calibri"/>
                <w:sz w:val="20"/>
                <w:szCs w:val="20"/>
                <w:color w:val="auto"/>
              </w:rPr>
              <w:t>Legal and advisory non-recurring costs</w:t>
            </w:r>
            <w:r>
              <w:rPr>
                <w:rFonts w:ascii="Calibri" w:cs="Calibri" w:eastAsia="Calibri" w:hAnsi="Calibri"/>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2,515</w:t>
            </w: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7,689</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61"/>
              <w:spacing w:after="0" w:line="234" w:lineRule="exact"/>
              <w:rPr>
                <w:sz w:val="20"/>
                <w:szCs w:val="20"/>
                <w:color w:val="auto"/>
              </w:rPr>
            </w:pPr>
            <w:r>
              <w:rPr>
                <w:rFonts w:ascii="Calibri" w:cs="Calibri" w:eastAsia="Calibri" w:hAnsi="Calibri"/>
                <w:sz w:val="20"/>
                <w:szCs w:val="20"/>
                <w:color w:val="auto"/>
              </w:rPr>
              <w:t>10,439</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10,624</w:t>
            </w:r>
          </w:p>
        </w:tc>
        <w:tc>
          <w:tcPr>
            <w:tcW w:w="0" w:type="dxa"/>
            <w:vAlign w:val="bottom"/>
          </w:tcPr>
          <w:p>
            <w:pPr>
              <w:spacing w:after="0"/>
              <w:rPr>
                <w:sz w:val="1"/>
                <w:szCs w:val="1"/>
                <w:color w:val="auto"/>
              </w:rPr>
            </w:pPr>
          </w:p>
        </w:tc>
      </w:tr>
      <w:tr>
        <w:trPr>
          <w:trHeight w:val="178"/>
        </w:trPr>
        <w:tc>
          <w:tcPr>
            <w:tcW w:w="4660" w:type="dxa"/>
            <w:vAlign w:val="bottom"/>
            <w:gridSpan w:val="2"/>
          </w:tcPr>
          <w:p>
            <w:pPr>
              <w:ind w:left="100"/>
              <w:spacing w:after="0" w:line="178" w:lineRule="exact"/>
              <w:rPr>
                <w:sz w:val="20"/>
                <w:szCs w:val="20"/>
                <w:color w:val="auto"/>
              </w:rPr>
            </w:pPr>
            <w:r>
              <w:rPr>
                <w:rFonts w:ascii="Calibri" w:cs="Calibri" w:eastAsia="Calibri" w:hAnsi="Calibri"/>
                <w:sz w:val="19"/>
                <w:szCs w:val="19"/>
                <w:color w:val="auto"/>
              </w:rPr>
              <w:t>Change in fair value of warrants and interest rate</w:t>
            </w:r>
          </w:p>
        </w:tc>
        <w:tc>
          <w:tcPr>
            <w:tcW w:w="140" w:type="dxa"/>
            <w:vAlign w:val="bottom"/>
          </w:tcPr>
          <w:p>
            <w:pPr>
              <w:spacing w:after="0"/>
              <w:rPr>
                <w:sz w:val="15"/>
                <w:szCs w:val="15"/>
                <w:color w:val="auto"/>
              </w:rPr>
            </w:pPr>
          </w:p>
        </w:tc>
        <w:tc>
          <w:tcPr>
            <w:tcW w:w="1420" w:type="dxa"/>
            <w:vAlign w:val="bottom"/>
            <w:vMerge w:val="restart"/>
          </w:tcPr>
          <w:p>
            <w:pPr>
              <w:jc w:val="right"/>
              <w:ind w:right="61"/>
              <w:spacing w:after="0"/>
              <w:rPr>
                <w:sz w:val="20"/>
                <w:szCs w:val="20"/>
                <w:color w:val="auto"/>
              </w:rPr>
            </w:pPr>
            <w:r>
              <w:rPr>
                <w:rFonts w:ascii="Calibri" w:cs="Calibri" w:eastAsia="Calibri" w:hAnsi="Calibri"/>
                <w:sz w:val="20"/>
                <w:szCs w:val="20"/>
                <w:color w:val="auto"/>
              </w:rPr>
              <w:t>(8,572)</w:t>
            </w:r>
          </w:p>
        </w:tc>
        <w:tc>
          <w:tcPr>
            <w:tcW w:w="240" w:type="dxa"/>
            <w:vAlign w:val="bottom"/>
          </w:tcPr>
          <w:p>
            <w:pPr>
              <w:spacing w:after="0"/>
              <w:rPr>
                <w:sz w:val="15"/>
                <w:szCs w:val="15"/>
                <w:color w:val="auto"/>
              </w:rPr>
            </w:pPr>
          </w:p>
        </w:tc>
        <w:tc>
          <w:tcPr>
            <w:tcW w:w="1420" w:type="dxa"/>
            <w:vAlign w:val="bottom"/>
            <w:vMerge w:val="restart"/>
          </w:tcPr>
          <w:p>
            <w:pPr>
              <w:jc w:val="right"/>
              <w:ind w:right="61"/>
              <w:spacing w:after="0"/>
              <w:rPr>
                <w:sz w:val="20"/>
                <w:szCs w:val="20"/>
                <w:color w:val="auto"/>
              </w:rPr>
            </w:pPr>
            <w:r>
              <w:rPr>
                <w:rFonts w:ascii="Calibri" w:cs="Calibri" w:eastAsia="Calibri" w:hAnsi="Calibri"/>
                <w:sz w:val="20"/>
                <w:szCs w:val="20"/>
                <w:color w:val="auto"/>
              </w:rPr>
              <w:t>(1,137)</w:t>
            </w:r>
          </w:p>
        </w:tc>
        <w:tc>
          <w:tcPr>
            <w:tcW w:w="280" w:type="dxa"/>
            <w:vAlign w:val="bottom"/>
          </w:tcPr>
          <w:p>
            <w:pPr>
              <w:spacing w:after="0"/>
              <w:rPr>
                <w:sz w:val="15"/>
                <w:szCs w:val="15"/>
                <w:color w:val="auto"/>
              </w:rPr>
            </w:pPr>
          </w:p>
        </w:tc>
        <w:tc>
          <w:tcPr>
            <w:tcW w:w="1440" w:type="dxa"/>
            <w:vAlign w:val="bottom"/>
            <w:vMerge w:val="restart"/>
          </w:tcPr>
          <w:p>
            <w:pPr>
              <w:jc w:val="right"/>
              <w:ind w:right="121"/>
              <w:spacing w:after="0"/>
              <w:rPr>
                <w:sz w:val="20"/>
                <w:szCs w:val="20"/>
                <w:color w:val="auto"/>
              </w:rPr>
            </w:pPr>
            <w:r>
              <w:rPr>
                <w:rFonts w:ascii="Calibri" w:cs="Calibri" w:eastAsia="Calibri" w:hAnsi="Calibri"/>
                <w:sz w:val="20"/>
                <w:szCs w:val="20"/>
                <w:color w:val="auto"/>
              </w:rPr>
              <w:t>(20,732)</w:t>
            </w:r>
          </w:p>
        </w:tc>
        <w:tc>
          <w:tcPr>
            <w:tcW w:w="220" w:type="dxa"/>
            <w:vAlign w:val="bottom"/>
          </w:tcPr>
          <w:p>
            <w:pPr>
              <w:spacing w:after="0"/>
              <w:rPr>
                <w:sz w:val="15"/>
                <w:szCs w:val="15"/>
                <w:color w:val="auto"/>
              </w:rPr>
            </w:pPr>
          </w:p>
        </w:tc>
        <w:tc>
          <w:tcPr>
            <w:tcW w:w="1420" w:type="dxa"/>
            <w:vAlign w:val="bottom"/>
            <w:vMerge w:val="restart"/>
          </w:tcPr>
          <w:p>
            <w:pPr>
              <w:jc w:val="right"/>
              <w:ind w:right="81"/>
              <w:spacing w:after="0"/>
              <w:rPr>
                <w:sz w:val="20"/>
                <w:szCs w:val="20"/>
                <w:color w:val="auto"/>
              </w:rPr>
            </w:pPr>
            <w:r>
              <w:rPr>
                <w:rFonts w:ascii="Calibri" w:cs="Calibri" w:eastAsia="Calibri" w:hAnsi="Calibri"/>
                <w:sz w:val="20"/>
                <w:szCs w:val="20"/>
                <w:color w:val="auto"/>
              </w:rPr>
              <w:t>(1,467)</w:t>
            </w:r>
          </w:p>
        </w:tc>
        <w:tc>
          <w:tcPr>
            <w:tcW w:w="0" w:type="dxa"/>
            <w:vAlign w:val="bottom"/>
          </w:tcPr>
          <w:p>
            <w:pPr>
              <w:spacing w:after="0"/>
              <w:rPr>
                <w:sz w:val="1"/>
                <w:szCs w:val="1"/>
                <w:color w:val="auto"/>
              </w:rPr>
            </w:pPr>
          </w:p>
        </w:tc>
      </w:tr>
      <w:tr>
        <w:trPr>
          <w:trHeight w:val="234"/>
        </w:trPr>
        <w:tc>
          <w:tcPr>
            <w:tcW w:w="4660" w:type="dxa"/>
            <w:vAlign w:val="bottom"/>
            <w:gridSpan w:val="2"/>
          </w:tcPr>
          <w:p>
            <w:pPr>
              <w:ind w:left="100"/>
              <w:spacing w:after="0" w:line="234" w:lineRule="exact"/>
              <w:rPr>
                <w:sz w:val="20"/>
                <w:szCs w:val="20"/>
                <w:color w:val="auto"/>
              </w:rPr>
            </w:pPr>
            <w:r>
              <w:rPr>
                <w:rFonts w:ascii="Calibri" w:cs="Calibri" w:eastAsia="Calibri" w:hAnsi="Calibri"/>
                <w:sz w:val="20"/>
                <w:szCs w:val="20"/>
                <w:color w:val="auto"/>
              </w:rPr>
              <w:t>collar</w:t>
            </w:r>
          </w:p>
        </w:tc>
        <w:tc>
          <w:tcPr>
            <w:tcW w:w="14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660" w:type="dxa"/>
            <w:vAlign w:val="bottom"/>
            <w:gridSpan w:val="2"/>
            <w:shd w:val="clear" w:color="auto" w:fill="CCEEFF"/>
          </w:tcPr>
          <w:p>
            <w:pPr>
              <w:ind w:left="100"/>
              <w:spacing w:after="0" w:line="256" w:lineRule="exact"/>
              <w:rPr>
                <w:sz w:val="20"/>
                <w:szCs w:val="20"/>
                <w:color w:val="auto"/>
              </w:rPr>
            </w:pPr>
            <w:r>
              <w:rPr>
                <w:rFonts w:ascii="Calibri" w:cs="Calibri" w:eastAsia="Calibri" w:hAnsi="Calibri"/>
                <w:sz w:val="20"/>
                <w:szCs w:val="20"/>
                <w:color w:val="auto"/>
              </w:rPr>
              <w:t>Amortzaton of related party liability</w:t>
            </w:r>
            <w:r>
              <w:rPr>
                <w:rFonts w:ascii="Calibri" w:cs="Calibri" w:eastAsia="Calibri" w:hAnsi="Calibri"/>
                <w:sz w:val="25"/>
                <w:szCs w:val="25"/>
                <w:color w:val="auto"/>
                <w:vertAlign w:val="superscript"/>
              </w:rPr>
              <w:t>(2)</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61"/>
              <w:spacing w:after="0" w:line="234" w:lineRule="exact"/>
              <w:rPr>
                <w:sz w:val="20"/>
                <w:szCs w:val="20"/>
                <w:color w:val="auto"/>
              </w:rPr>
            </w:pPr>
            <w:r>
              <w:rPr>
                <w:rFonts w:ascii="Calibri" w:cs="Calibri" w:eastAsia="Calibri" w:hAnsi="Calibri"/>
                <w:sz w:val="20"/>
                <w:szCs w:val="20"/>
                <w:color w:val="auto"/>
              </w:rPr>
              <w:t>(461)</w:t>
            </w: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(778)</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81"/>
              <w:spacing w:after="0" w:line="234" w:lineRule="exact"/>
              <w:rPr>
                <w:sz w:val="20"/>
                <w:szCs w:val="20"/>
                <w:color w:val="auto"/>
              </w:rPr>
            </w:pPr>
            <w:r>
              <w:rPr>
                <w:rFonts w:ascii="Calibri" w:cs="Calibri" w:eastAsia="Calibri" w:hAnsi="Calibri"/>
                <w:sz w:val="20"/>
                <w:szCs w:val="20"/>
                <w:color w:val="auto"/>
              </w:rPr>
              <w:t>(2,371)</w:t>
            </w:r>
          </w:p>
        </w:tc>
        <w:tc>
          <w:tcPr>
            <w:tcW w:w="0" w:type="dxa"/>
            <w:vAlign w:val="bottom"/>
          </w:tcPr>
          <w:p>
            <w:pPr>
              <w:spacing w:after="0"/>
              <w:rPr>
                <w:sz w:val="1"/>
                <w:szCs w:val="1"/>
                <w:color w:val="auto"/>
              </w:rPr>
            </w:pPr>
          </w:p>
        </w:tc>
      </w:tr>
      <w:tr>
        <w:trPr>
          <w:trHeight w:val="257"/>
        </w:trPr>
        <w:tc>
          <w:tcPr>
            <w:tcW w:w="4660" w:type="dxa"/>
            <w:vAlign w:val="bottom"/>
            <w:gridSpan w:val="2"/>
          </w:tcPr>
          <w:p>
            <w:pPr>
              <w:ind w:left="100"/>
              <w:spacing w:after="0" w:line="256" w:lineRule="exact"/>
              <w:rPr>
                <w:sz w:val="20"/>
                <w:szCs w:val="20"/>
                <w:color w:val="auto"/>
              </w:rPr>
            </w:pPr>
            <w:r>
              <w:rPr>
                <w:rFonts w:ascii="Calibri" w:cs="Calibri" w:eastAsia="Calibri" w:hAnsi="Calibri"/>
                <w:sz w:val="20"/>
                <w:szCs w:val="20"/>
                <w:color w:val="auto"/>
              </w:rPr>
              <w:t>Other costs</w:t>
            </w:r>
            <w:r>
              <w:rPr>
                <w:rFonts w:ascii="Calibri" w:cs="Calibri" w:eastAsia="Calibri" w:hAnsi="Calibri"/>
                <w:sz w:val="25"/>
                <w:szCs w:val="25"/>
                <w:color w:val="auto"/>
                <w:vertAlign w:val="superscript"/>
              </w:rPr>
              <w:t>(3)</w:t>
            </w:r>
          </w:p>
        </w:tc>
        <w:tc>
          <w:tcPr>
            <w:tcW w:w="140" w:type="dxa"/>
            <w:vAlign w:val="bottom"/>
          </w:tcPr>
          <w:p>
            <w:pPr>
              <w:spacing w:after="0"/>
              <w:rPr>
                <w:sz w:val="22"/>
                <w:szCs w:val="22"/>
                <w:color w:val="auto"/>
              </w:rPr>
            </w:pPr>
          </w:p>
        </w:tc>
        <w:tc>
          <w:tcPr>
            <w:tcW w:w="142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515</w:t>
            </w:r>
          </w:p>
        </w:tc>
        <w:tc>
          <w:tcPr>
            <w:tcW w:w="240" w:type="dxa"/>
            <w:vAlign w:val="bottom"/>
          </w:tcPr>
          <w:p>
            <w:pPr>
              <w:spacing w:after="0"/>
              <w:rPr>
                <w:sz w:val="22"/>
                <w:szCs w:val="22"/>
                <w:color w:val="auto"/>
              </w:rPr>
            </w:pPr>
          </w:p>
        </w:tc>
        <w:tc>
          <w:tcPr>
            <w:tcW w:w="142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1,820</w:t>
            </w:r>
          </w:p>
        </w:tc>
        <w:tc>
          <w:tcPr>
            <w:tcW w:w="280" w:type="dxa"/>
            <w:vAlign w:val="bottom"/>
          </w:tcPr>
          <w:p>
            <w:pPr>
              <w:spacing w:after="0"/>
              <w:rPr>
                <w:sz w:val="22"/>
                <w:szCs w:val="22"/>
                <w:color w:val="auto"/>
              </w:rPr>
            </w:pPr>
          </w:p>
        </w:tc>
        <w:tc>
          <w:tcPr>
            <w:tcW w:w="1440" w:type="dxa"/>
            <w:vAlign w:val="bottom"/>
          </w:tcPr>
          <w:p>
            <w:pPr>
              <w:jc w:val="right"/>
              <w:ind w:right="161"/>
              <w:spacing w:after="0" w:line="234" w:lineRule="exact"/>
              <w:rPr>
                <w:sz w:val="20"/>
                <w:szCs w:val="20"/>
                <w:color w:val="auto"/>
              </w:rPr>
            </w:pPr>
            <w:r>
              <w:rPr>
                <w:rFonts w:ascii="Calibri" w:cs="Calibri" w:eastAsia="Calibri" w:hAnsi="Calibri"/>
                <w:sz w:val="20"/>
                <w:szCs w:val="20"/>
                <w:color w:val="auto"/>
              </w:rPr>
              <w:t>763</w:t>
            </w:r>
          </w:p>
        </w:tc>
        <w:tc>
          <w:tcPr>
            <w:tcW w:w="220" w:type="dxa"/>
            <w:vAlign w:val="bottom"/>
          </w:tcPr>
          <w:p>
            <w:pPr>
              <w:spacing w:after="0"/>
              <w:rPr>
                <w:sz w:val="22"/>
                <w:szCs w:val="22"/>
                <w:color w:val="auto"/>
              </w:rPr>
            </w:pPr>
          </w:p>
        </w:tc>
        <w:tc>
          <w:tcPr>
            <w:tcW w:w="142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3,059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580" w:type="dxa"/>
            <w:vAlign w:val="bottom"/>
            <w:tcBorders>
              <w:top w:val="single" w:sz="8" w:color="CCEEFF"/>
            </w:tcBorders>
            <w:shd w:val="clear" w:color="auto" w:fill="CCEEFF"/>
          </w:tcPr>
          <w:p>
            <w:pPr>
              <w:ind w:left="20"/>
              <w:spacing w:after="0"/>
              <w:rPr>
                <w:sz w:val="20"/>
                <w:szCs w:val="20"/>
                <w:color w:val="auto"/>
              </w:rPr>
            </w:pPr>
            <w:r>
              <w:rPr>
                <w:rFonts w:ascii="Calibri" w:cs="Calibri" w:eastAsia="Calibri" w:hAnsi="Calibri"/>
                <w:sz w:val="20"/>
                <w:szCs w:val="20"/>
                <w:b w:val="1"/>
                <w:bCs w:val="1"/>
                <w:color w:val="auto"/>
              </w:rPr>
              <w:t>Adjusted EBITDA</w:t>
            </w:r>
          </w:p>
        </w:tc>
        <w:tc>
          <w:tcPr>
            <w:tcW w:w="5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181"/>
              <w:spacing w:after="0"/>
              <w:rPr>
                <w:sz w:val="20"/>
                <w:szCs w:val="20"/>
                <w:color w:val="auto"/>
              </w:rPr>
            </w:pPr>
            <w:r>
              <w:rPr>
                <w:rFonts w:ascii="Calibri" w:cs="Calibri" w:eastAsia="Calibri" w:hAnsi="Calibri"/>
                <w:sz w:val="20"/>
                <w:szCs w:val="20"/>
                <w:b w:val="1"/>
                <w:bCs w:val="1"/>
                <w:color w:val="auto"/>
              </w:rPr>
              <w:t>6,333</w:t>
            </w:r>
          </w:p>
        </w:tc>
        <w:tc>
          <w:tcPr>
            <w:tcW w:w="5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181"/>
              <w:spacing w:after="0"/>
              <w:rPr>
                <w:sz w:val="20"/>
                <w:szCs w:val="20"/>
                <w:color w:val="auto"/>
              </w:rPr>
            </w:pPr>
            <w:r>
              <w:rPr>
                <w:rFonts w:ascii="Calibri" w:cs="Calibri" w:eastAsia="Calibri" w:hAnsi="Calibri"/>
                <w:sz w:val="20"/>
                <w:szCs w:val="20"/>
                <w:b w:val="1"/>
                <w:bCs w:val="1"/>
                <w:color w:val="auto"/>
              </w:rPr>
              <w:t>3,850</w:t>
            </w:r>
          </w:p>
        </w:tc>
        <w:tc>
          <w:tcPr>
            <w:tcW w:w="4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ind w:right="181"/>
              <w:spacing w:after="0"/>
              <w:rPr>
                <w:sz w:val="20"/>
                <w:szCs w:val="20"/>
                <w:color w:val="auto"/>
              </w:rPr>
            </w:pPr>
            <w:r>
              <w:rPr>
                <w:rFonts w:ascii="Calibri" w:cs="Calibri" w:eastAsia="Calibri" w:hAnsi="Calibri"/>
                <w:sz w:val="20"/>
                <w:szCs w:val="20"/>
                <w:b w:val="1"/>
                <w:bCs w:val="1"/>
                <w:color w:val="auto"/>
              </w:rPr>
              <w:t>17,684</w:t>
            </w:r>
          </w:p>
        </w:tc>
        <w:tc>
          <w:tcPr>
            <w:tcW w:w="44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Calibri" w:cs="Calibri" w:eastAsia="Calibri" w:hAnsi="Calibri"/>
                <w:sz w:val="20"/>
                <w:szCs w:val="20"/>
                <w:b w:val="1"/>
                <w:bCs w:val="1"/>
                <w:color w:val="auto"/>
              </w:rPr>
              <w:t>13,904</w:t>
            </w:r>
          </w:p>
        </w:tc>
      </w:tr>
      <w:tr>
        <w:trPr>
          <w:trHeight w:val="234"/>
        </w:trPr>
        <w:tc>
          <w:tcPr>
            <w:tcW w:w="458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Net Revenue</w:t>
            </w:r>
          </w:p>
        </w:tc>
        <w:tc>
          <w:tcPr>
            <w:tcW w:w="54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w:t>
            </w:r>
          </w:p>
        </w:tc>
        <w:tc>
          <w:tcPr>
            <w:tcW w:w="11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63,311</w:t>
            </w:r>
          </w:p>
        </w:tc>
        <w:tc>
          <w:tcPr>
            <w:tcW w:w="500" w:type="dxa"/>
            <w:vAlign w:val="bottom"/>
          </w:tcPr>
          <w:p>
            <w:pPr>
              <w:jc w:val="right"/>
              <w:ind w:right="241"/>
              <w:spacing w:after="0" w:line="234" w:lineRule="exact"/>
              <w:rPr>
                <w:sz w:val="20"/>
                <w:szCs w:val="20"/>
                <w:color w:val="auto"/>
              </w:rPr>
            </w:pPr>
            <w:r>
              <w:rPr>
                <w:rFonts w:ascii="Calibri" w:cs="Calibri" w:eastAsia="Calibri" w:hAnsi="Calibri"/>
                <w:sz w:val="20"/>
                <w:szCs w:val="20"/>
                <w:color w:val="auto"/>
              </w:rPr>
              <w:t>$</w:t>
            </w:r>
          </w:p>
        </w:tc>
        <w:tc>
          <w:tcPr>
            <w:tcW w:w="116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49,386</w:t>
            </w:r>
          </w:p>
        </w:tc>
        <w:tc>
          <w:tcPr>
            <w:tcW w:w="460" w:type="dxa"/>
            <w:vAlign w:val="bottom"/>
          </w:tcPr>
          <w:p>
            <w:pPr>
              <w:jc w:val="right"/>
              <w:ind w:right="201"/>
              <w:spacing w:after="0" w:line="234" w:lineRule="exact"/>
              <w:rPr>
                <w:sz w:val="20"/>
                <w:szCs w:val="20"/>
                <w:color w:val="auto"/>
              </w:rPr>
            </w:pPr>
            <w:r>
              <w:rPr>
                <w:rFonts w:ascii="Calibri" w:cs="Calibri" w:eastAsia="Calibri" w:hAnsi="Calibri"/>
                <w:sz w:val="20"/>
                <w:szCs w:val="20"/>
                <w:color w:val="auto"/>
              </w:rPr>
              <w:t>$</w:t>
            </w:r>
          </w:p>
        </w:tc>
        <w:tc>
          <w:tcPr>
            <w:tcW w:w="122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131,582</w:t>
            </w:r>
          </w:p>
        </w:tc>
        <w:tc>
          <w:tcPr>
            <w:tcW w:w="440" w:type="dxa"/>
            <w:vAlign w:val="bottom"/>
          </w:tcPr>
          <w:p>
            <w:pPr>
              <w:jc w:val="right"/>
              <w:ind w:right="181"/>
              <w:spacing w:after="0" w:line="234"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109,338</w:t>
            </w:r>
          </w:p>
        </w:tc>
      </w:tr>
      <w:tr>
        <w:trPr>
          <w:trHeight w:val="22"/>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line="234" w:lineRule="exact"/>
              <w:rPr>
                <w:sz w:val="20"/>
                <w:szCs w:val="20"/>
                <w:color w:val="auto"/>
              </w:rPr>
            </w:pPr>
            <w:r>
              <w:rPr>
                <w:rFonts w:ascii="Calibri" w:cs="Calibri" w:eastAsia="Calibri" w:hAnsi="Calibri"/>
                <w:sz w:val="20"/>
                <w:szCs w:val="20"/>
                <w:b w:val="1"/>
                <w:bCs w:val="1"/>
                <w:color w:val="auto"/>
              </w:rPr>
              <w:t>Net Loss % of Net Revenue</w:t>
            </w: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(14.2)%</w:t>
            </w:r>
          </w:p>
        </w:tc>
        <w:tc>
          <w:tcPr>
            <w:tcW w:w="5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(47.6)%</w:t>
            </w: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(9.8)%</w:t>
            </w:r>
          </w:p>
        </w:tc>
        <w:tc>
          <w:tcPr>
            <w:tcW w:w="4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(33.6)%</w:t>
            </w:r>
          </w:p>
        </w:tc>
      </w:tr>
      <w:tr>
        <w:trPr>
          <w:trHeight w:val="234"/>
        </w:trPr>
        <w:tc>
          <w:tcPr>
            <w:tcW w:w="4580" w:type="dxa"/>
            <w:vAlign w:val="bottom"/>
          </w:tcPr>
          <w:p>
            <w:pPr>
              <w:ind w:left="20"/>
              <w:spacing w:after="0" w:line="234" w:lineRule="exact"/>
              <w:rPr>
                <w:sz w:val="20"/>
                <w:szCs w:val="20"/>
                <w:color w:val="auto"/>
              </w:rPr>
            </w:pPr>
            <w:r>
              <w:rPr>
                <w:rFonts w:ascii="Calibri" w:cs="Calibri" w:eastAsia="Calibri" w:hAnsi="Calibri"/>
                <w:sz w:val="20"/>
                <w:szCs w:val="20"/>
                <w:b w:val="1"/>
                <w:bCs w:val="1"/>
                <w:color w:val="auto"/>
              </w:rPr>
              <w:t>Adjusted EBITDA Margin</w:t>
            </w:r>
          </w:p>
        </w:tc>
        <w:tc>
          <w:tcPr>
            <w:tcW w:w="540" w:type="dxa"/>
            <w:vAlign w:val="bottom"/>
          </w:tcPr>
          <w:p>
            <w:pPr>
              <w:spacing w:after="0"/>
              <w:rPr>
                <w:sz w:val="20"/>
                <w:szCs w:val="20"/>
                <w:color w:val="auto"/>
              </w:rPr>
            </w:pP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10.0 %</w:t>
            </w:r>
          </w:p>
        </w:tc>
        <w:tc>
          <w:tcPr>
            <w:tcW w:w="500" w:type="dxa"/>
            <w:vAlign w:val="bottom"/>
          </w:tcPr>
          <w:p>
            <w:pPr>
              <w:spacing w:after="0"/>
              <w:rPr>
                <w:sz w:val="20"/>
                <w:szCs w:val="20"/>
                <w:color w:val="auto"/>
              </w:rPr>
            </w:pPr>
          </w:p>
        </w:tc>
        <w:tc>
          <w:tcPr>
            <w:tcW w:w="1160" w:type="dxa"/>
            <w:vAlign w:val="bottom"/>
          </w:tcPr>
          <w:p>
            <w:pPr>
              <w:jc w:val="right"/>
              <w:spacing w:after="0" w:line="234" w:lineRule="exact"/>
              <w:rPr>
                <w:sz w:val="20"/>
                <w:szCs w:val="20"/>
                <w:color w:val="auto"/>
              </w:rPr>
            </w:pPr>
            <w:r>
              <w:rPr>
                <w:rFonts w:ascii="Calibri" w:cs="Calibri" w:eastAsia="Calibri" w:hAnsi="Calibri"/>
                <w:sz w:val="20"/>
                <w:szCs w:val="20"/>
                <w:color w:val="auto"/>
              </w:rPr>
              <w:t>7.8 %</w:t>
            </w:r>
          </w:p>
        </w:tc>
        <w:tc>
          <w:tcPr>
            <w:tcW w:w="460" w:type="dxa"/>
            <w:vAlign w:val="bottom"/>
          </w:tcPr>
          <w:p>
            <w:pPr>
              <w:spacing w:after="0"/>
              <w:rPr>
                <w:sz w:val="20"/>
                <w:szCs w:val="20"/>
                <w:color w:val="auto"/>
              </w:rPr>
            </w:pPr>
          </w:p>
        </w:tc>
        <w:tc>
          <w:tcPr>
            <w:tcW w:w="1220" w:type="dxa"/>
            <w:vAlign w:val="bottom"/>
          </w:tcPr>
          <w:p>
            <w:pPr>
              <w:jc w:val="right"/>
              <w:spacing w:after="0" w:line="234" w:lineRule="exact"/>
              <w:rPr>
                <w:sz w:val="20"/>
                <w:szCs w:val="20"/>
                <w:color w:val="auto"/>
              </w:rPr>
            </w:pPr>
            <w:r>
              <w:rPr>
                <w:rFonts w:ascii="Calibri" w:cs="Calibri" w:eastAsia="Calibri" w:hAnsi="Calibri"/>
                <w:sz w:val="20"/>
                <w:szCs w:val="20"/>
                <w:color w:val="auto"/>
              </w:rPr>
              <w:t>13.4 %</w:t>
            </w:r>
          </w:p>
        </w:tc>
        <w:tc>
          <w:tcPr>
            <w:tcW w:w="440" w:type="dxa"/>
            <w:vAlign w:val="bottom"/>
          </w:tcPr>
          <w:p>
            <w:pPr>
              <w:spacing w:after="0"/>
              <w:rPr>
                <w:sz w:val="20"/>
                <w:szCs w:val="20"/>
                <w:color w:val="auto"/>
              </w:rPr>
            </w:pPr>
          </w:p>
        </w:tc>
        <w:tc>
          <w:tcPr>
            <w:tcW w:w="1180" w:type="dxa"/>
            <w:vAlign w:val="bottom"/>
          </w:tcPr>
          <w:p>
            <w:pPr>
              <w:jc w:val="right"/>
              <w:spacing w:after="0" w:line="234" w:lineRule="exact"/>
              <w:rPr>
                <w:sz w:val="20"/>
                <w:szCs w:val="20"/>
                <w:color w:val="auto"/>
              </w:rPr>
            </w:pPr>
            <w:r>
              <w:rPr>
                <w:rFonts w:ascii="Calibri" w:cs="Calibri" w:eastAsia="Calibri" w:hAnsi="Calibri"/>
                <w:sz w:val="20"/>
                <w:szCs w:val="20"/>
                <w:color w:val="auto"/>
              </w:rPr>
              <w:t>12.7 %</w:t>
            </w:r>
          </w:p>
        </w:tc>
      </w:tr>
    </w:tbl>
    <w:p>
      <w:pPr>
        <w:spacing w:after="0" w:line="101" w:lineRule="exact"/>
        <w:rPr>
          <w:sz w:val="20"/>
          <w:szCs w:val="20"/>
          <w:color w:val="auto"/>
        </w:rPr>
      </w:pPr>
    </w:p>
    <w:p>
      <w:pPr>
        <w:ind w:left="160" w:hanging="152"/>
        <w:spacing w:after="0"/>
        <w:tabs>
          <w:tab w:leader="none" w:pos="160" w:val="left"/>
        </w:tabs>
        <w:numPr>
          <w:ilvl w:val="0"/>
          <w:numId w:val="6"/>
        </w:numPr>
        <w:rPr>
          <w:rFonts w:ascii="Calibri" w:cs="Calibri" w:eastAsia="Calibri" w:hAnsi="Calibri"/>
          <w:sz w:val="20"/>
          <w:szCs w:val="20"/>
          <w:color w:val="auto"/>
          <w:vertAlign w:val="superscript"/>
        </w:rPr>
      </w:pPr>
      <w:r>
        <w:rPr>
          <w:rFonts w:ascii="Calibri" w:cs="Calibri" w:eastAsia="Calibri" w:hAnsi="Calibri"/>
          <w:sz w:val="15"/>
          <w:szCs w:val="15"/>
          <w:color w:val="auto"/>
        </w:rPr>
        <w:t>Includes mainly legal, advisory and consultant fees related to the fnancial restatement for FY 2022 and associated regulatory investgaton.</w:t>
      </w:r>
    </w:p>
    <w:p>
      <w:pPr>
        <w:spacing w:after="0" w:line="50" w:lineRule="exact"/>
        <w:rPr>
          <w:rFonts w:ascii="Calibri" w:cs="Calibri" w:eastAsia="Calibri" w:hAnsi="Calibri"/>
          <w:sz w:val="20"/>
          <w:szCs w:val="20"/>
          <w:color w:val="auto"/>
          <w:vertAlign w:val="superscript"/>
        </w:rPr>
      </w:pPr>
    </w:p>
    <w:p>
      <w:pPr>
        <w:ind w:left="160" w:hanging="152"/>
        <w:spacing w:after="0" w:line="189" w:lineRule="auto"/>
        <w:tabs>
          <w:tab w:leader="none" w:pos="160" w:val="left"/>
        </w:tabs>
        <w:numPr>
          <w:ilvl w:val="0"/>
          <w:numId w:val="6"/>
        </w:numPr>
        <w:rPr>
          <w:rFonts w:ascii="Calibri" w:cs="Calibri" w:eastAsia="Calibri" w:hAnsi="Calibri"/>
          <w:sz w:val="20"/>
          <w:szCs w:val="20"/>
          <w:color w:val="auto"/>
          <w:vertAlign w:val="superscript"/>
        </w:rPr>
      </w:pPr>
      <w:r>
        <w:rPr>
          <w:rFonts w:ascii="Calibri" w:cs="Calibri" w:eastAsia="Calibri" w:hAnsi="Calibri"/>
          <w:sz w:val="15"/>
          <w:szCs w:val="15"/>
          <w:color w:val="auto"/>
        </w:rPr>
        <w:t>Relates to the fair value of the related party liability for the unfavorable discount to the Obagi Medical China Business as part of the Business Combinaton.</w:t>
      </w:r>
    </w:p>
    <w:p>
      <w:pPr>
        <w:spacing w:after="0" w:line="63" w:lineRule="exact"/>
        <w:rPr>
          <w:rFonts w:ascii="Calibri" w:cs="Calibri" w:eastAsia="Calibri" w:hAnsi="Calibri"/>
          <w:sz w:val="20"/>
          <w:szCs w:val="20"/>
          <w:color w:val="auto"/>
          <w:vertAlign w:val="superscript"/>
        </w:rPr>
      </w:pPr>
    </w:p>
    <w:p>
      <w:pPr>
        <w:jc w:val="both"/>
        <w:ind w:left="180" w:hanging="172"/>
        <w:spacing w:after="0" w:line="229" w:lineRule="auto"/>
        <w:tabs>
          <w:tab w:leader="none" w:pos="172" w:val="left"/>
        </w:tabs>
        <w:numPr>
          <w:ilvl w:val="0"/>
          <w:numId w:val="6"/>
        </w:numPr>
        <w:rPr>
          <w:rFonts w:ascii="Arial" w:cs="Arial" w:eastAsia="Arial" w:hAnsi="Arial"/>
          <w:sz w:val="19"/>
          <w:szCs w:val="19"/>
          <w:color w:val="auto"/>
          <w:vertAlign w:val="superscript"/>
        </w:rPr>
      </w:pPr>
      <w:r>
        <w:rPr>
          <w:rFonts w:ascii="Calibri" w:cs="Calibri" w:eastAsia="Calibri" w:hAnsi="Calibri"/>
          <w:sz w:val="16"/>
          <w:szCs w:val="16"/>
          <w:color w:val="auto"/>
        </w:rPr>
        <w:t>Other non-recurring costs include the amortzaton of the fair value step-up as a result of the business combinaton, legal setlements, foreign currency transacton losses, the cost and gain of the recovery of inventory from the Vietnam distributor, product discontnuaton costs related to advanced purchases for the Vietnam distributor, and a one-tme contract terminaton cost and lease impairment.</w:t>
      </w:r>
    </w:p>
    <w:p>
      <w:pPr>
        <w:spacing w:after="0" w:line="207" w:lineRule="exact"/>
        <w:rPr>
          <w:sz w:val="20"/>
          <w:szCs w:val="20"/>
          <w:color w:val="auto"/>
        </w:rPr>
      </w:pPr>
    </w:p>
    <w:p>
      <w:pPr>
        <w:spacing w:after="0" w:line="234" w:lineRule="auto"/>
        <w:rPr>
          <w:sz w:val="20"/>
          <w:szCs w:val="20"/>
          <w:color w:val="auto"/>
        </w:rPr>
      </w:pPr>
      <w:r>
        <w:rPr>
          <w:rFonts w:ascii="Calibri" w:cs="Calibri" w:eastAsia="Calibri" w:hAnsi="Calibri"/>
          <w:sz w:val="20"/>
          <w:szCs w:val="20"/>
          <w:b w:val="1"/>
          <w:bCs w:val="1"/>
          <w:color w:val="181818"/>
        </w:rPr>
        <w:t xml:space="preserve">Net Debt Positon </w:t>
      </w:r>
      <w:r>
        <w:rPr>
          <w:rFonts w:ascii="Calibri" w:cs="Calibri" w:eastAsia="Calibri" w:hAnsi="Calibri"/>
          <w:sz w:val="20"/>
          <w:szCs w:val="20"/>
          <w:color w:val="181818"/>
        </w:rPr>
        <w:t>is defned as the principal outstanding for the 2022 Term Loan and 2022 Revolving Credit Facility minus the cash and</w:t>
      </w:r>
      <w:r>
        <w:rPr>
          <w:rFonts w:ascii="Calibri" w:cs="Calibri" w:eastAsia="Calibri" w:hAnsi="Calibri"/>
          <w:sz w:val="20"/>
          <w:szCs w:val="20"/>
          <w:b w:val="1"/>
          <w:bCs w:val="1"/>
          <w:color w:val="181818"/>
        </w:rPr>
        <w:t xml:space="preserve"> </w:t>
      </w:r>
      <w:r>
        <w:rPr>
          <w:rFonts w:ascii="Calibri" w:cs="Calibri" w:eastAsia="Calibri" w:hAnsi="Calibri"/>
          <w:sz w:val="20"/>
          <w:szCs w:val="20"/>
          <w:color w:val="181818"/>
        </w:rPr>
        <w:t>cash equivalents as of June 30,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center"/>
              <w:ind w:right="41"/>
              <w:spacing w:after="0"/>
              <w:rPr>
                <w:sz w:val="20"/>
                <w:szCs w:val="20"/>
                <w:color w:val="auto"/>
              </w:rPr>
            </w:pPr>
            <w:r>
              <w:rPr>
                <w:rFonts w:ascii="Calibri" w:cs="Calibri" w:eastAsia="Calibri" w:hAnsi="Calibri"/>
                <w:sz w:val="20"/>
                <w:szCs w:val="20"/>
                <w:b w:val="1"/>
                <w:bCs w:val="1"/>
                <w:color w:val="auto"/>
              </w:rPr>
              <w:t>Reconciliaton of Net</w:t>
            </w:r>
          </w:p>
        </w:tc>
      </w:tr>
      <w:tr>
        <w:trPr>
          <w:trHeight w:val="189"/>
        </w:trPr>
        <w:tc>
          <w:tcPr>
            <w:tcW w:w="9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41"/>
              <w:spacing w:after="0" w:line="189" w:lineRule="exact"/>
              <w:rPr>
                <w:sz w:val="20"/>
                <w:szCs w:val="20"/>
                <w:color w:val="auto"/>
              </w:rPr>
            </w:pPr>
            <w:r>
              <w:rPr>
                <w:rFonts w:ascii="Calibri" w:cs="Calibri" w:eastAsia="Calibri" w:hAnsi="Calibri"/>
                <w:sz w:val="20"/>
                <w:szCs w:val="20"/>
                <w:b w:val="1"/>
                <w:bCs w:val="1"/>
                <w:color w:val="auto"/>
              </w:rPr>
              <w:t>Carrying Amount of</w:t>
            </w:r>
          </w:p>
        </w:tc>
      </w:tr>
      <w:tr>
        <w:trPr>
          <w:trHeight w:val="253"/>
        </w:trPr>
        <w:tc>
          <w:tcPr>
            <w:tcW w:w="9180" w:type="dxa"/>
            <w:vAlign w:val="bottom"/>
            <w:gridSpan w:val="2"/>
          </w:tcPr>
          <w:p>
            <w:pPr>
              <w:ind w:left="20"/>
              <w:spacing w:after="0"/>
              <w:rPr>
                <w:sz w:val="20"/>
                <w:szCs w:val="20"/>
                <w:color w:val="auto"/>
              </w:rPr>
            </w:pPr>
            <w:r>
              <w:rPr>
                <w:rFonts w:ascii="Calibri" w:cs="Calibri" w:eastAsia="Calibri" w:hAnsi="Calibri"/>
                <w:sz w:val="16"/>
                <w:szCs w:val="16"/>
                <w:i w:val="1"/>
                <w:iCs w:val="1"/>
                <w:color w:val="auto"/>
              </w:rPr>
              <w:t>(In thousands)</w:t>
            </w:r>
          </w:p>
        </w:tc>
        <w:tc>
          <w:tcPr>
            <w:tcW w:w="140" w:type="dxa"/>
            <w:vAlign w:val="bottom"/>
          </w:tcPr>
          <w:p>
            <w:pPr>
              <w:spacing w:after="0"/>
              <w:rPr>
                <w:sz w:val="22"/>
                <w:szCs w:val="22"/>
                <w:color w:val="auto"/>
              </w:rPr>
            </w:pPr>
          </w:p>
        </w:tc>
        <w:tc>
          <w:tcPr>
            <w:tcW w:w="1920" w:type="dxa"/>
            <w:vAlign w:val="bottom"/>
          </w:tcPr>
          <w:p>
            <w:pPr>
              <w:jc w:val="center"/>
              <w:ind w:right="41"/>
              <w:spacing w:after="0" w:line="234" w:lineRule="exact"/>
              <w:rPr>
                <w:sz w:val="20"/>
                <w:szCs w:val="20"/>
                <w:color w:val="auto"/>
              </w:rPr>
            </w:pPr>
            <w:r>
              <w:rPr>
                <w:rFonts w:ascii="Calibri" w:cs="Calibri" w:eastAsia="Calibri" w:hAnsi="Calibri"/>
                <w:sz w:val="20"/>
                <w:szCs w:val="20"/>
                <w:b w:val="1"/>
                <w:bCs w:val="1"/>
                <w:color w:val="auto"/>
              </w:rPr>
              <w:t>debt to Net Debt</w:t>
            </w:r>
          </w:p>
        </w:tc>
      </w:tr>
      <w:tr>
        <w:trPr>
          <w:trHeight w:val="28"/>
        </w:trPr>
        <w:tc>
          <w:tcPr>
            <w:tcW w:w="9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908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Current porton of long-term debt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92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26,237</w:t>
            </w:r>
          </w:p>
        </w:tc>
      </w:tr>
      <w:tr>
        <w:trPr>
          <w:trHeight w:val="234"/>
        </w:trPr>
        <w:tc>
          <w:tcPr>
            <w:tcW w:w="918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Long-term debt</w:t>
            </w:r>
          </w:p>
        </w:tc>
        <w:tc>
          <w:tcPr>
            <w:tcW w:w="14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920" w:type="dxa"/>
            <w:vAlign w:val="bottom"/>
          </w:tcPr>
          <w:p>
            <w:pPr>
              <w:jc w:val="right"/>
              <w:spacing w:after="0" w:line="234" w:lineRule="exact"/>
              <w:rPr>
                <w:sz w:val="20"/>
                <w:szCs w:val="20"/>
                <w:color w:val="auto"/>
              </w:rPr>
            </w:pPr>
            <w:r>
              <w:rPr>
                <w:rFonts w:ascii="Calibri" w:cs="Calibri" w:eastAsia="Calibri" w:hAnsi="Calibri"/>
                <w:sz w:val="20"/>
                <w:szCs w:val="20"/>
                <w:color w:val="auto"/>
              </w:rPr>
              <w:t>145,289</w:t>
            </w:r>
          </w:p>
        </w:tc>
      </w:tr>
      <w:tr>
        <w:trPr>
          <w:trHeight w:val="22"/>
        </w:trPr>
        <w:tc>
          <w:tcPr>
            <w:tcW w:w="9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0"/>
        </w:trPr>
        <w:tc>
          <w:tcPr>
            <w:tcW w:w="9180" w:type="dxa"/>
            <w:vAlign w:val="bottom"/>
            <w:tcBorders>
              <w:bottom w:val="single" w:sz="8" w:color="CCEEFF"/>
            </w:tcBorders>
            <w:gridSpan w:val="2"/>
            <w:shd w:val="clear" w:color="auto" w:fill="CCEEFF"/>
          </w:tcPr>
          <w:p>
            <w:pPr>
              <w:ind w:left="20"/>
              <w:spacing w:after="0" w:line="214" w:lineRule="exact"/>
              <w:rPr>
                <w:sz w:val="20"/>
                <w:szCs w:val="20"/>
                <w:color w:val="auto"/>
              </w:rPr>
            </w:pPr>
            <w:r>
              <w:rPr>
                <w:rFonts w:ascii="Calibri" w:cs="Calibri" w:eastAsia="Calibri" w:hAnsi="Calibri"/>
                <w:sz w:val="20"/>
                <w:szCs w:val="20"/>
                <w:color w:val="auto"/>
              </w:rPr>
              <w:t>Net carrying amount of debt</w:t>
            </w: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171,526</w:t>
            </w:r>
          </w:p>
        </w:tc>
      </w:tr>
      <w:tr>
        <w:trPr>
          <w:trHeight w:val="234"/>
        </w:trPr>
        <w:tc>
          <w:tcPr>
            <w:tcW w:w="918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Adjustments:</w:t>
            </w: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2"/>
        </w:trPr>
        <w:tc>
          <w:tcPr>
            <w:tcW w:w="9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918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Add: Unamortzed debt issuance costs</w:t>
            </w:r>
          </w:p>
        </w:tc>
        <w:tc>
          <w:tcPr>
            <w:tcW w:w="1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3,162</w:t>
            </w:r>
          </w:p>
        </w:tc>
      </w:tr>
      <w:tr>
        <w:trPr>
          <w:trHeight w:val="234"/>
        </w:trPr>
        <w:tc>
          <w:tcPr>
            <w:tcW w:w="918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Less: Cash &amp; cash equivalents</w:t>
            </w:r>
          </w:p>
        </w:tc>
        <w:tc>
          <w:tcPr>
            <w:tcW w:w="140" w:type="dxa"/>
            <w:vAlign w:val="bottom"/>
          </w:tcPr>
          <w:p>
            <w:pPr>
              <w:spacing w:after="0"/>
              <w:rPr>
                <w:sz w:val="20"/>
                <w:szCs w:val="20"/>
                <w:color w:val="auto"/>
              </w:rPr>
            </w:pPr>
          </w:p>
        </w:tc>
        <w:tc>
          <w:tcPr>
            <w:tcW w:w="1920" w:type="dxa"/>
            <w:vAlign w:val="bottom"/>
          </w:tcPr>
          <w:p>
            <w:pPr>
              <w:jc w:val="right"/>
              <w:spacing w:after="0" w:line="234" w:lineRule="exact"/>
              <w:rPr>
                <w:sz w:val="20"/>
                <w:szCs w:val="20"/>
                <w:color w:val="auto"/>
              </w:rPr>
            </w:pPr>
            <w:r>
              <w:rPr>
                <w:rFonts w:ascii="Calibri" w:cs="Calibri" w:eastAsia="Calibri" w:hAnsi="Calibri"/>
                <w:sz w:val="20"/>
                <w:szCs w:val="20"/>
                <w:color w:val="auto"/>
              </w:rPr>
              <w:t>(19,691)</w:t>
            </w:r>
          </w:p>
        </w:tc>
      </w:tr>
      <w:tr>
        <w:trPr>
          <w:trHeight w:val="22"/>
        </w:trPr>
        <w:tc>
          <w:tcPr>
            <w:tcW w:w="9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68"/>
        </w:trPr>
        <w:tc>
          <w:tcPr>
            <w:tcW w:w="918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b w:val="1"/>
                <w:bCs w:val="1"/>
                <w:color w:val="auto"/>
              </w:rPr>
              <w:t>Net Debt</w:t>
            </w:r>
          </w:p>
        </w:tc>
        <w:tc>
          <w:tcPr>
            <w:tcW w:w="14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b w:val="1"/>
                <w:bCs w:val="1"/>
                <w:color w:val="auto"/>
                <w:w w:val="98"/>
              </w:rPr>
              <w:t>$</w:t>
            </w:r>
          </w:p>
        </w:tc>
        <w:tc>
          <w:tcPr>
            <w:tcW w:w="192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b w:val="1"/>
                <w:bCs w:val="1"/>
                <w:color w:val="auto"/>
              </w:rPr>
              <w:t>154,997</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141" w:right="339" w:bottom="1440" w:gutter="0" w:footer="0" w:header="0"/>
        </w:sectPr>
      </w:pPr>
    </w:p>
    <w:bookmarkStart w:id="10" w:name="page11"/>
    <w:bookmarkEnd w:id="10"/>
    <w:p>
      <w:pPr>
        <w:spacing w:after="0"/>
        <w:rPr>
          <w:sz w:val="20"/>
          <w:szCs w:val="20"/>
          <w:color w:val="auto"/>
        </w:rPr>
      </w:pPr>
      <w:r>
        <w:rPr>
          <w:rFonts w:ascii="Calibri" w:cs="Calibri" w:eastAsia="Calibri" w:hAnsi="Calibri"/>
          <w:sz w:val="22"/>
          <w:szCs w:val="22"/>
          <w:b w:val="1"/>
          <w:bCs w:val="1"/>
          <w:u w:val="single" w:color="auto"/>
          <w:color w:val="auto"/>
        </w:rPr>
        <w:t>About Waldencast plc</w:t>
      </w:r>
    </w:p>
    <w:p>
      <w:pPr>
        <w:spacing w:after="0" w:line="246" w:lineRule="exact"/>
        <w:rPr>
          <w:sz w:val="20"/>
          <w:szCs w:val="20"/>
          <w:color w:val="auto"/>
        </w:rPr>
      </w:pPr>
    </w:p>
    <w:p>
      <w:pPr>
        <w:ind w:right="160"/>
        <w:spacing w:after="0"/>
        <w:rPr>
          <w:sz w:val="20"/>
          <w:szCs w:val="20"/>
          <w:color w:val="auto"/>
        </w:rPr>
      </w:pPr>
      <w:r>
        <w:rPr>
          <w:rFonts w:ascii="Calibri" w:cs="Calibri" w:eastAsia="Calibri" w:hAnsi="Calibri"/>
          <w:sz w:val="20"/>
          <w:szCs w:val="20"/>
          <w:color w:val="auto"/>
        </w:rPr>
        <w:t xml:space="preserve">Founded by Michel Brousset and Hind Sebt, Waldencast’s ambiton is to build a global best-in-class beauty and wellness operatng platorm by developing, acquiring, acceleratng, and scaling conscious, high-growth purpose-driven brands. Waldencast’s vision is fundamentally underpinned by its brand-led business model that ensures proximity to its customers, business agility, and market responsiveness, while maintaining each brand’s distnct DNA. The frst step in realizing its vision was the business combinaton with Obagi Medical and Milk Makeup. As part of the Waldencast platorm, its brands will beneft from the operatonal scale of a mult-brand platorm; the expertse in managing global beauty brands at scale; a balanced portolio to mitgate category fuctuatons; asset light efciency; and the market responsiveness and speed of entrepreneurial indie brands. For more informaton please visit: </w:t>
      </w:r>
      <w:r>
        <w:rPr>
          <w:rFonts w:ascii="Calibri" w:cs="Calibri" w:eastAsia="Calibri" w:hAnsi="Calibri"/>
          <w:sz w:val="20"/>
          <w:szCs w:val="20"/>
          <w:color w:val="0563C1"/>
        </w:rPr>
        <w:t>htps://ir.waldencast.com/</w:t>
      </w:r>
      <w:r>
        <w:rPr>
          <w:rFonts w:ascii="Calibri" w:cs="Calibri" w:eastAsia="Calibri" w:hAnsi="Calibri"/>
          <w:sz w:val="20"/>
          <w:szCs w:val="20"/>
          <w:color w:val="000000"/>
        </w:rPr>
        <w:t>.</w:t>
      </w:r>
    </w:p>
    <w:p>
      <w:pPr>
        <w:spacing w:after="0" w:line="200" w:lineRule="exact"/>
        <w:rPr>
          <w:sz w:val="20"/>
          <w:szCs w:val="20"/>
          <w:color w:val="auto"/>
        </w:rPr>
      </w:pPr>
    </w:p>
    <w:p>
      <w:pPr>
        <w:spacing w:after="0" w:line="211"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Obagi Medical is an industry-leading, advanced skin care line rooted in research and skin biology, refned with a legacy of 35 years’ experience. First known as leaders in the treatment of hyperpigmentaton with the Obagi Medical Nu-Derm® System, Obagi Medical products are designed to diminish the appearance of premature aging, photodamage, skin discoloraton, acne, and sun damage. More informaton about Obagi Medical is available on the brand’s website at www.obagi.com.</w:t>
      </w:r>
    </w:p>
    <w:p>
      <w:pPr>
        <w:spacing w:after="0" w:line="213"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Founded in 2016, Milk Makeup quickly became a cult-favorite among the beauty community for its values of self-expression and inclusion, captured by its signature Live Your Look, its innovatve formulas and clean ingredients. The brand creates vegan, cruelty-free, clean formulas from its Milk Makeup HQ in Downtown NYC. Currently, Milk Makeup ofers over 300 products through its US website www.MilkMakeup.com, and its retail partners including Sephora in North America, Europe, the Middle East and Australia and Cult Beauty and Selfridges in the UK.</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Statement Regarding Forward-Looking Statements</w:t>
      </w:r>
    </w:p>
    <w:p>
      <w:pPr>
        <w:spacing w:after="0" w:line="63"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All statements in this release that are not historical, are forward-looking statements made pursuant to the safe harbor provisions of the Private Securites Litgaton Reform Act of 1995. Such statements include, but are not limited to, statements about: statements regarding Waldencast’s outlook and guidance for Fiscal 2024, the Company’s ability to deliver fnancial results in line with expectatons; expectatons regarding sales, earnings or other future fnancial performance and liquidity or other performance measures; the Company’s long-term strategy and future operatons or operatng results; expectatons with respect to the Company’s industry and the markets in which it operates; future product introductons; developments relatng to the ongoing investgaton and legal proceedings; and any assumptons underlying any of the foregoing. Words such as “antcipate,” “believe,” “contnue,” “could,” “estmate,” “expect,” “intend,” “may,” “plan,” “predict,” “project,” “should,” and “will” and variatons of such words and similar expressions are intended to identfy such forward-looking statements.</w:t>
      </w:r>
    </w:p>
    <w:p>
      <w:pPr>
        <w:spacing w:after="0" w:line="216"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These forward-looking statements are not guarantees of future performance, conditons or results, and involve a number of known and unknown risks, uncertaintes, assumptons and other important factors, many of which are outside the control of the Company, that could cause actual results or outcomes to difer materially from those discussed in the forward-looking statements, including, among others: (i) the inability to recognize the antcipated benefts of the business combinaton with Obagi Medical and Milk Makeup, (ii) the ability of the Company to fle required fnancial results in a tmely manner, (iii) the Company’s ability to successfully remediate the material weaknesses in the Company’s internal control over fnancial reportng, (iv) the potental for delistng, legal proceedings or existng or new government investgaton or enforcement actons, including those relatng to the restatement or the subject of the Audit Commitee of the Company’s Board of Directors’ review further described in the Company's annual report fled on Form 20-F for the year ended December 31, 2022 or inability to fnalize fnancial results in a tmely manner, (v) the Company’s ability to obtain additonal waivers from the Administratve Agent and the lenders under its credit facilites for any defaults or events of default, (vi) volatlity of Waldencast's securites due to a variety of factors, including Waldencast's inability to implement its business plans or meet or exceed its fnancial projectons and changes, (vii) the ability to implement business plans, forecasts, and other expectatons, and identfy and realize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40"/>
          </w:cols>
          <w:pgMar w:left="320" w:top="910" w:right="339" w:bottom="1440" w:gutter="0" w:footer="0" w:header="0"/>
        </w:sectPr>
      </w:pPr>
    </w:p>
    <w:bookmarkStart w:id="11" w:name="page12"/>
    <w:bookmarkEnd w:id="11"/>
    <w:p>
      <w:pPr>
        <w:jc w:val="both"/>
        <w:spacing w:after="0" w:line="233" w:lineRule="auto"/>
        <w:rPr>
          <w:sz w:val="20"/>
          <w:szCs w:val="20"/>
          <w:color w:val="auto"/>
        </w:rPr>
      </w:pPr>
      <w:r>
        <w:rPr>
          <w:rFonts w:ascii="Calibri" w:cs="Calibri" w:eastAsia="Calibri" w:hAnsi="Calibri"/>
          <w:sz w:val="20"/>
          <w:szCs w:val="20"/>
          <w:color w:val="auto"/>
        </w:rPr>
        <w:t>additonal opportunites, (viii) the ability of Waldencast to implement its strategic initatves and contnue to innovate Obagi Medical’s and Milk Makeup’s existng products and antcipate and respond to market trends and changes in consumer preferences, (ix) any shifs in the preferences of consumers as to where and how they shop, and (x) social, politcal and economic conditons. These and other risks, assumptons and uncertaintes are more fully described in the Risk Factors secton of our 2023 20-F (File No. 01-40207), fled with the Securites and Exchange Commission (the “SEC”) on April 30, 2024, and in our other documents that we fle or furnish with the SEC, which you are encouraged to read.</w:t>
      </w:r>
    </w:p>
    <w:p>
      <w:pPr>
        <w:spacing w:after="0" w:line="225"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Should one or more of these risks or uncertaintes materialize, or should underlying assumptons prove incorrect, actual results may vary materially from those indicated or antcipated by such forward-looking statements. Accordingly, you are cautoned not to rely on these forward-looking statements, which speak only as of the date they are made. Waldencast expressly disclaims any current intenton, and assumes no duty, to update publicly any forward-looking statement afer the distributon of this release, whether as a result of new informaton, future events, changes in assumptons or otherwise.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Investors</w:t>
      </w:r>
    </w:p>
    <w:p>
      <w:pPr>
        <w:spacing w:after="0" w:line="238" w:lineRule="auto"/>
        <w:rPr>
          <w:sz w:val="20"/>
          <w:szCs w:val="20"/>
          <w:color w:val="auto"/>
        </w:rPr>
      </w:pPr>
      <w:r>
        <w:rPr>
          <w:rFonts w:ascii="Calibri" w:cs="Calibri" w:eastAsia="Calibri" w:hAnsi="Calibri"/>
          <w:sz w:val="20"/>
          <w:szCs w:val="20"/>
          <w:color w:val="auto"/>
        </w:rPr>
        <w:t>ICR</w:t>
      </w:r>
    </w:p>
    <w:p>
      <w:pPr>
        <w:spacing w:after="0" w:line="226" w:lineRule="auto"/>
        <w:rPr>
          <w:sz w:val="20"/>
          <w:szCs w:val="20"/>
          <w:color w:val="auto"/>
        </w:rPr>
      </w:pPr>
      <w:r>
        <w:rPr>
          <w:rFonts w:ascii="Calibri" w:cs="Calibri" w:eastAsia="Calibri" w:hAnsi="Calibri"/>
          <w:sz w:val="20"/>
          <w:szCs w:val="20"/>
          <w:color w:val="auto"/>
        </w:rPr>
        <w:t>Allison Malkin</w:t>
      </w:r>
    </w:p>
    <w:p>
      <w:pPr>
        <w:spacing w:after="0"/>
        <w:rPr>
          <w:sz w:val="20"/>
          <w:szCs w:val="20"/>
          <w:color w:val="auto"/>
        </w:rPr>
      </w:pPr>
      <w:r>
        <w:rPr>
          <w:rFonts w:ascii="Calibri" w:cs="Calibri" w:eastAsia="Calibri" w:hAnsi="Calibri"/>
          <w:sz w:val="20"/>
          <w:szCs w:val="20"/>
          <w:color w:val="auto"/>
        </w:rPr>
        <w:t>waldencastr@icrinc.com</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w:t>
      </w:r>
    </w:p>
    <w:p>
      <w:pPr>
        <w:spacing w:after="0" w:line="225" w:lineRule="auto"/>
        <w:rPr>
          <w:sz w:val="20"/>
          <w:szCs w:val="20"/>
          <w:color w:val="auto"/>
        </w:rPr>
      </w:pPr>
      <w:r>
        <w:rPr>
          <w:rFonts w:ascii="Calibri" w:cs="Calibri" w:eastAsia="Calibri" w:hAnsi="Calibri"/>
          <w:sz w:val="20"/>
          <w:szCs w:val="20"/>
          <w:color w:val="auto"/>
        </w:rPr>
        <w:t>ICR</w:t>
      </w:r>
    </w:p>
    <w:p>
      <w:pPr>
        <w:spacing w:after="0"/>
        <w:rPr>
          <w:sz w:val="20"/>
          <w:szCs w:val="20"/>
          <w:color w:val="auto"/>
        </w:rPr>
      </w:pPr>
      <w:r>
        <w:rPr>
          <w:rFonts w:ascii="Calibri" w:cs="Calibri" w:eastAsia="Calibri" w:hAnsi="Calibri"/>
          <w:sz w:val="20"/>
          <w:szCs w:val="20"/>
          <w:color w:val="auto"/>
        </w:rPr>
        <w:t>Britney Fraser/Alecia Pulman</w:t>
      </w:r>
    </w:p>
    <w:p>
      <w:pPr>
        <w:spacing w:after="0" w:line="225" w:lineRule="auto"/>
        <w:rPr>
          <w:sz w:val="20"/>
          <w:szCs w:val="20"/>
          <w:color w:val="auto"/>
        </w:rPr>
      </w:pPr>
      <w:r>
        <w:rPr>
          <w:rFonts w:ascii="Calibri" w:cs="Calibri" w:eastAsia="Calibri" w:hAnsi="Calibri"/>
          <w:sz w:val="20"/>
          <w:szCs w:val="20"/>
          <w:color w:val="auto"/>
        </w:rPr>
        <w:t>waldencast@icrinc.com</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40"/>
          </w:cols>
          <w:pgMar w:left="320" w:top="1141" w:right="339" w:bottom="1440" w:gutter="0" w:footer="0" w:header="0"/>
        </w:sectPr>
      </w:pPr>
    </w:p>
    <w:bookmarkStart w:id="12" w:name="page13"/>
    <w:bookmarkEnd w:id="12"/>
    <w:p>
      <w:pPr>
        <w:spacing w:after="0"/>
        <w:rPr>
          <w:sz w:val="20"/>
          <w:szCs w:val="20"/>
          <w:color w:val="auto"/>
        </w:rPr>
      </w:pPr>
      <w:r>
        <w:rPr>
          <w:rFonts w:ascii="Calibri" w:cs="Calibri" w:eastAsia="Calibri" w:hAnsi="Calibri"/>
          <w:sz w:val="25"/>
          <w:szCs w:val="25"/>
          <w:b w:val="1"/>
          <w:bCs w:val="1"/>
          <w:color w:val="auto"/>
        </w:rPr>
        <w:t>Appendix</w:t>
      </w:r>
    </w:p>
    <w:p>
      <w:pPr>
        <w:spacing w:after="0" w:line="236"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Comparable Net Revenue Growth</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40" w:type="dxa"/>
            <w:vAlign w:val="bottom"/>
            <w:gridSpan w:val="3"/>
          </w:tcPr>
          <w:p>
            <w:pPr>
              <w:ind w:left="20"/>
              <w:spacing w:after="0"/>
              <w:rPr>
                <w:sz w:val="20"/>
                <w:szCs w:val="20"/>
                <w:color w:val="auto"/>
              </w:rPr>
            </w:pPr>
            <w:r>
              <w:rPr>
                <w:rFonts w:ascii="Calibri" w:cs="Calibri" w:eastAsia="Calibri" w:hAnsi="Calibri"/>
                <w:sz w:val="16"/>
                <w:szCs w:val="16"/>
                <w:i w:val="1"/>
                <w:iCs w:val="1"/>
                <w:color w:val="auto"/>
              </w:rPr>
              <w:t>(In thousands, except for percentages)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gridSpan w:val="4"/>
          </w:tcPr>
          <w:p>
            <w:pPr>
              <w:jc w:val="right"/>
              <w:spacing w:after="0"/>
              <w:rPr>
                <w:sz w:val="20"/>
                <w:szCs w:val="20"/>
                <w:color w:val="auto"/>
              </w:rPr>
            </w:pPr>
            <w:r>
              <w:rPr>
                <w:rFonts w:ascii="Calibri" w:cs="Calibri" w:eastAsia="Calibri" w:hAnsi="Calibri"/>
                <w:sz w:val="20"/>
                <w:szCs w:val="20"/>
                <w:b w:val="1"/>
                <w:bCs w:val="1"/>
                <w:color w:val="auto"/>
              </w:rPr>
              <w:t>Group</w:t>
            </w: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1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center"/>
              <w:ind w:right="240"/>
              <w:spacing w:after="0" w:line="172" w:lineRule="exact"/>
              <w:rPr>
                <w:sz w:val="20"/>
                <w:szCs w:val="20"/>
                <w:color w:val="auto"/>
              </w:rPr>
            </w:pPr>
            <w:r>
              <w:rPr>
                <w:rFonts w:ascii="Calibri" w:cs="Calibri" w:eastAsia="Calibri" w:hAnsi="Calibri"/>
                <w:sz w:val="18"/>
                <w:szCs w:val="18"/>
                <w:b w:val="1"/>
                <w:bCs w:val="1"/>
                <w:color w:val="auto"/>
              </w:rPr>
              <w:t>Three Months</w:t>
            </w:r>
          </w:p>
        </w:tc>
        <w:tc>
          <w:tcPr>
            <w:tcW w:w="140" w:type="dxa"/>
            <w:vAlign w:val="bottom"/>
          </w:tcPr>
          <w:p>
            <w:pPr>
              <w:spacing w:after="0"/>
              <w:rPr>
                <w:sz w:val="14"/>
                <w:szCs w:val="14"/>
                <w:color w:val="auto"/>
              </w:rPr>
            </w:pPr>
          </w:p>
        </w:tc>
        <w:tc>
          <w:tcPr>
            <w:tcW w:w="1320" w:type="dxa"/>
            <w:vAlign w:val="bottom"/>
            <w:gridSpan w:val="3"/>
          </w:tcPr>
          <w:p>
            <w:pPr>
              <w:jc w:val="center"/>
              <w:ind w:right="41"/>
              <w:spacing w:after="0" w:line="172" w:lineRule="exact"/>
              <w:rPr>
                <w:sz w:val="20"/>
                <w:szCs w:val="20"/>
                <w:color w:val="auto"/>
              </w:rPr>
            </w:pPr>
            <w:r>
              <w:rPr>
                <w:rFonts w:ascii="Calibri" w:cs="Calibri" w:eastAsia="Calibri" w:hAnsi="Calibri"/>
                <w:sz w:val="18"/>
                <w:szCs w:val="18"/>
                <w:b w:val="1"/>
                <w:bCs w:val="1"/>
                <w:color w:val="auto"/>
              </w:rPr>
              <w:t>Three Months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00"/>
              <w:spacing w:after="0" w:line="172" w:lineRule="exact"/>
              <w:rPr>
                <w:sz w:val="20"/>
                <w:szCs w:val="20"/>
                <w:color w:val="auto"/>
              </w:rPr>
            </w:pPr>
            <w:r>
              <w:rPr>
                <w:rFonts w:ascii="Calibri" w:cs="Calibri" w:eastAsia="Calibri" w:hAnsi="Calibri"/>
                <w:sz w:val="18"/>
                <w:szCs w:val="18"/>
                <w:b w:val="1"/>
                <w:bCs w:val="1"/>
                <w:color w:val="auto"/>
              </w:rPr>
              <w:t>Six months</w:t>
            </w: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jc w:val="center"/>
              <w:ind w:right="240"/>
              <w:spacing w:after="0" w:line="189" w:lineRule="exact"/>
              <w:rPr>
                <w:sz w:val="20"/>
                <w:szCs w:val="20"/>
                <w:color w:val="auto"/>
              </w:rPr>
            </w:pPr>
            <w:r>
              <w:rPr>
                <w:rFonts w:ascii="Calibri" w:cs="Calibri" w:eastAsia="Calibri" w:hAnsi="Calibri"/>
                <w:sz w:val="20"/>
                <w:szCs w:val="20"/>
                <w:b w:val="1"/>
                <w:bCs w:val="1"/>
                <w:color w:val="auto"/>
              </w:rPr>
              <w:t>Ended June 30,</w:t>
            </w:r>
          </w:p>
        </w:tc>
        <w:tc>
          <w:tcPr>
            <w:tcW w:w="1460" w:type="dxa"/>
            <w:vAlign w:val="bottom"/>
            <w:gridSpan w:val="4"/>
          </w:tcPr>
          <w:p>
            <w:pPr>
              <w:jc w:val="center"/>
              <w:spacing w:after="0" w:line="189" w:lineRule="exact"/>
              <w:rPr>
                <w:sz w:val="20"/>
                <w:szCs w:val="20"/>
                <w:color w:val="auto"/>
              </w:rPr>
            </w:pPr>
            <w:r>
              <w:rPr>
                <w:rFonts w:ascii="Calibri" w:cs="Calibri" w:eastAsia="Calibri" w:hAnsi="Calibri"/>
                <w:sz w:val="20"/>
                <w:szCs w:val="20"/>
                <w:b w:val="1"/>
                <w:bCs w:val="1"/>
                <w:color w:val="auto"/>
              </w:rPr>
              <w:t>Ended June 30,</w:t>
            </w:r>
          </w:p>
        </w:tc>
        <w:tc>
          <w:tcPr>
            <w:tcW w:w="100" w:type="dxa"/>
            <w:vAlign w:val="bottom"/>
          </w:tcPr>
          <w:p>
            <w:pPr>
              <w:spacing w:after="0"/>
              <w:rPr>
                <w:sz w:val="16"/>
                <w:szCs w:val="16"/>
                <w:color w:val="auto"/>
              </w:rPr>
            </w:pPr>
          </w:p>
        </w:tc>
        <w:tc>
          <w:tcPr>
            <w:tcW w:w="1560" w:type="dxa"/>
            <w:vAlign w:val="bottom"/>
            <w:gridSpan w:val="5"/>
          </w:tcPr>
          <w:p>
            <w:pPr>
              <w:jc w:val="center"/>
              <w:spacing w:after="0" w:line="189" w:lineRule="exact"/>
              <w:rPr>
                <w:sz w:val="20"/>
                <w:szCs w:val="20"/>
                <w:color w:val="auto"/>
              </w:rPr>
            </w:pPr>
            <w:r>
              <w:rPr>
                <w:rFonts w:ascii="Calibri" w:cs="Calibri" w:eastAsia="Calibri" w:hAnsi="Calibri"/>
                <w:sz w:val="20"/>
                <w:szCs w:val="20"/>
                <w:b w:val="1"/>
                <w:bCs w:val="1"/>
                <w:color w:val="auto"/>
              </w:rPr>
              <w:t>Six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spacing w:after="0" w:line="189" w:lineRule="exact"/>
              <w:rPr>
                <w:sz w:val="20"/>
                <w:szCs w:val="20"/>
                <w:color w:val="auto"/>
              </w:rPr>
            </w:pPr>
            <w:r>
              <w:rPr>
                <w:rFonts w:ascii="Calibri" w:cs="Calibri" w:eastAsia="Calibri" w:hAnsi="Calibri"/>
                <w:sz w:val="20"/>
                <w:szCs w:val="20"/>
                <w:b w:val="1"/>
                <w:bCs w:val="1"/>
                <w:color w:val="auto"/>
              </w:rPr>
              <w:t>ended June 30,</w:t>
            </w:r>
          </w:p>
        </w:tc>
        <w:tc>
          <w:tcPr>
            <w:tcW w:w="0" w:type="dxa"/>
            <w:vAlign w:val="bottom"/>
          </w:tcPr>
          <w:p>
            <w:pPr>
              <w:spacing w:after="0"/>
              <w:rPr>
                <w:sz w:val="1"/>
                <w:szCs w:val="1"/>
                <w:color w:val="auto"/>
              </w:rPr>
            </w:pPr>
          </w:p>
        </w:tc>
      </w:tr>
      <w:tr>
        <w:trPr>
          <w:trHeight w:val="253"/>
        </w:trPr>
        <w:tc>
          <w:tcPr>
            <w:tcW w:w="4540" w:type="dxa"/>
            <w:vAlign w:val="bottom"/>
            <w:gridSpan w:val="3"/>
          </w:tcPr>
          <w:p>
            <w:pPr>
              <w:ind w:left="20"/>
              <w:spacing w:after="0"/>
              <w:rPr>
                <w:sz w:val="20"/>
                <w:szCs w:val="20"/>
                <w:color w:val="auto"/>
              </w:rPr>
            </w:pPr>
            <w:r>
              <w:rPr>
                <w:rFonts w:ascii="Calibri" w:cs="Calibri" w:eastAsia="Calibri" w:hAnsi="Calibri"/>
                <w:sz w:val="16"/>
                <w:szCs w:val="16"/>
                <w:i w:val="1"/>
                <w:iCs w:val="1"/>
                <w:color w:val="auto"/>
              </w:rPr>
              <w:t>(In thousands, except for percentages)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22"/>
              <w:spacing w:after="0" w:line="234" w:lineRule="exact"/>
              <w:rPr>
                <w:sz w:val="20"/>
                <w:szCs w:val="20"/>
                <w:color w:val="auto"/>
              </w:rPr>
            </w:pPr>
            <w:r>
              <w:rPr>
                <w:rFonts w:ascii="Calibri" w:cs="Calibri" w:eastAsia="Calibri" w:hAnsi="Calibri"/>
                <w:sz w:val="20"/>
                <w:szCs w:val="20"/>
                <w:b w:val="1"/>
                <w:bCs w:val="1"/>
                <w:color w:val="auto"/>
              </w:rPr>
              <w:t>2024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center"/>
              <w:ind w:left="62"/>
              <w:spacing w:after="0" w:line="234" w:lineRule="exact"/>
              <w:rPr>
                <w:sz w:val="20"/>
                <w:szCs w:val="20"/>
                <w:color w:val="auto"/>
              </w:rPr>
            </w:pPr>
            <w:r>
              <w:rPr>
                <w:rFonts w:ascii="Calibri" w:cs="Calibri" w:eastAsia="Calibri" w:hAnsi="Calibri"/>
                <w:sz w:val="20"/>
                <w:szCs w:val="20"/>
                <w:b w:val="1"/>
                <w:bCs w:val="1"/>
                <w:color w:val="auto"/>
                <w:w w:val="98"/>
              </w:rPr>
              <w:t>2023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jc w:val="center"/>
              <w:spacing w:after="0"/>
              <w:rPr>
                <w:sz w:val="20"/>
                <w:szCs w:val="20"/>
                <w:color w:val="auto"/>
              </w:rPr>
            </w:pPr>
            <w:r>
              <w:rPr>
                <w:rFonts w:ascii="Calibri" w:cs="Calibri" w:eastAsia="Calibri" w:hAnsi="Calibri"/>
                <w:sz w:val="20"/>
                <w:szCs w:val="20"/>
                <w:b w:val="1"/>
                <w:bCs w:val="1"/>
                <w:color w:val="auto"/>
              </w:rPr>
              <w:t>June 30, 2024</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2023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9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3"/>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Net Revenue</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60" w:type="dxa"/>
            <w:vAlign w:val="bottom"/>
            <w:tcBorders>
              <w:bottom w:val="single" w:sz="8" w:color="CCEEFF"/>
            </w:tcBorders>
            <w:gridSpan w:val="3"/>
            <w:shd w:val="clear" w:color="auto" w:fill="CCEEFF"/>
          </w:tcPr>
          <w:p>
            <w:pPr>
              <w:jc w:val="right"/>
              <w:ind w:right="124"/>
              <w:spacing w:after="0" w:line="228" w:lineRule="exact"/>
              <w:rPr>
                <w:sz w:val="20"/>
                <w:szCs w:val="20"/>
                <w:color w:val="auto"/>
              </w:rPr>
            </w:pPr>
            <w:r>
              <w:rPr>
                <w:rFonts w:ascii="Calibri" w:cs="Calibri" w:eastAsia="Calibri" w:hAnsi="Calibri"/>
                <w:sz w:val="20"/>
                <w:szCs w:val="20"/>
                <w:color w:val="auto"/>
              </w:rPr>
              <w:t>63,311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320" w:type="dxa"/>
            <w:vAlign w:val="bottom"/>
            <w:tcBorders>
              <w:bottom w:val="single" w:sz="8" w:color="CCEEFF"/>
            </w:tcBorders>
            <w:gridSpan w:val="3"/>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49,386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
              <w:spacing w:after="0" w:line="228" w:lineRule="exact"/>
              <w:rPr>
                <w:sz w:val="20"/>
                <w:szCs w:val="20"/>
                <w:color w:val="auto"/>
              </w:rPr>
            </w:pPr>
            <w:r>
              <w:rPr>
                <w:rFonts w:ascii="Calibri" w:cs="Calibri" w:eastAsia="Calibri" w:hAnsi="Calibri"/>
                <w:sz w:val="20"/>
                <w:szCs w:val="20"/>
                <w:color w:val="auto"/>
                <w:w w:val="98"/>
              </w:rPr>
              <w:t>$</w:t>
            </w:r>
          </w:p>
        </w:tc>
        <w:tc>
          <w:tcPr>
            <w:tcW w:w="1160" w:type="dxa"/>
            <w:vAlign w:val="bottom"/>
            <w:tcBorders>
              <w:bottom w:val="single" w:sz="8" w:color="CCEEFF"/>
            </w:tcBorders>
            <w:gridSpan w:val="3"/>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131,582</w:t>
            </w: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260" w:type="dxa"/>
            <w:vAlign w:val="bottom"/>
            <w:tcBorders>
              <w:bottom w:val="single" w:sz="8" w:color="CCEEFF"/>
            </w:tcBorders>
            <w:gridSpan w:val="2"/>
            <w:shd w:val="clear" w:color="auto" w:fill="CCEEFF"/>
          </w:tcPr>
          <w:p>
            <w:pPr>
              <w:jc w:val="right"/>
              <w:ind w:right="80"/>
              <w:spacing w:after="0" w:line="228" w:lineRule="exact"/>
              <w:rPr>
                <w:sz w:val="20"/>
                <w:szCs w:val="20"/>
                <w:color w:val="auto"/>
              </w:rPr>
            </w:pPr>
            <w:r>
              <w:rPr>
                <w:rFonts w:ascii="Calibri" w:cs="Calibri" w:eastAsia="Calibri" w:hAnsi="Calibri"/>
                <w:sz w:val="20"/>
                <w:szCs w:val="20"/>
                <w:color w:val="auto"/>
              </w:rPr>
              <w:t>109,338</w:t>
            </w:r>
          </w:p>
        </w:tc>
        <w:tc>
          <w:tcPr>
            <w:tcW w:w="0" w:type="dxa"/>
            <w:vAlign w:val="bottom"/>
          </w:tcPr>
          <w:p>
            <w:pPr>
              <w:spacing w:after="0"/>
              <w:rPr>
                <w:sz w:val="1"/>
                <w:szCs w:val="1"/>
                <w:color w:val="auto"/>
              </w:rPr>
            </w:pPr>
          </w:p>
        </w:tc>
      </w:tr>
      <w:tr>
        <w:trPr>
          <w:trHeight w:val="234"/>
        </w:trPr>
        <w:tc>
          <w:tcPr>
            <w:tcW w:w="4540" w:type="dxa"/>
            <w:vAlign w:val="bottom"/>
            <w:gridSpan w:val="3"/>
          </w:tcPr>
          <w:p>
            <w:pPr>
              <w:ind w:left="20"/>
              <w:spacing w:after="0" w:line="234" w:lineRule="exact"/>
              <w:rPr>
                <w:sz w:val="20"/>
                <w:szCs w:val="20"/>
                <w:color w:val="auto"/>
              </w:rPr>
            </w:pPr>
            <w:r>
              <w:rPr>
                <w:rFonts w:ascii="Calibri" w:cs="Calibri" w:eastAsia="Calibri" w:hAnsi="Calibri"/>
                <w:sz w:val="20"/>
                <w:szCs w:val="20"/>
                <w:color w:val="auto"/>
              </w:rPr>
              <w:t>Obagi Medical China Business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ind w:right="124"/>
              <w:spacing w:after="0" w:line="234" w:lineRule="exact"/>
              <w:rPr>
                <w:sz w:val="20"/>
                <w:szCs w:val="20"/>
                <w:color w:val="auto"/>
              </w:rPr>
            </w:pPr>
            <w:r>
              <w:rPr>
                <w:rFonts w:ascii="Calibri" w:cs="Calibri" w:eastAsia="Calibri" w:hAnsi="Calibri"/>
                <w:sz w:val="20"/>
                <w:szCs w:val="20"/>
                <w:color w:val="auto"/>
              </w:rPr>
              <w:t>632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spacing w:after="0" w:line="234" w:lineRule="exact"/>
              <w:rPr>
                <w:sz w:val="20"/>
                <w:szCs w:val="20"/>
                <w:color w:val="auto"/>
              </w:rPr>
            </w:pPr>
            <w:r>
              <w:rPr>
                <w:rFonts w:ascii="Calibri" w:cs="Calibri" w:eastAsia="Calibri" w:hAnsi="Calibri"/>
                <w:sz w:val="20"/>
                <w:szCs w:val="20"/>
                <w:color w:val="auto"/>
              </w:rPr>
              <w:t>(490)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spacing w:after="0" w:line="234" w:lineRule="exact"/>
              <w:rPr>
                <w:sz w:val="20"/>
                <w:szCs w:val="20"/>
                <w:color w:val="auto"/>
              </w:rPr>
            </w:pPr>
            <w:r>
              <w:rPr>
                <w:rFonts w:ascii="Calibri" w:cs="Calibri" w:eastAsia="Calibri" w:hAnsi="Calibri"/>
                <w:sz w:val="20"/>
                <w:szCs w:val="20"/>
                <w:color w:val="auto"/>
              </w:rPr>
              <w:t>1,074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rPr>
              <w:t>3,363</w:t>
            </w:r>
          </w:p>
        </w:tc>
        <w:tc>
          <w:tcPr>
            <w:tcW w:w="0" w:type="dxa"/>
            <w:vAlign w:val="bottom"/>
          </w:tcPr>
          <w:p>
            <w:pPr>
              <w:spacing w:after="0"/>
              <w:rPr>
                <w:sz w:val="1"/>
                <w:szCs w:val="1"/>
                <w:color w:val="auto"/>
              </w:rPr>
            </w:pPr>
          </w:p>
        </w:tc>
      </w:tr>
      <w:tr>
        <w:trPr>
          <w:trHeight w:val="22"/>
        </w:trPr>
        <w:tc>
          <w:tcPr>
            <w:tcW w:w="19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540" w:type="dxa"/>
            <w:vAlign w:val="bottom"/>
            <w:tcBorders>
              <w:bottom w:val="single" w:sz="8" w:color="CCEEFF"/>
            </w:tcBorders>
            <w:gridSpan w:val="3"/>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Comparable Net Revenue</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460" w:type="dxa"/>
            <w:vAlign w:val="bottom"/>
            <w:tcBorders>
              <w:bottom w:val="single" w:sz="8" w:color="auto"/>
            </w:tcBorders>
            <w:gridSpan w:val="3"/>
            <w:shd w:val="clear" w:color="auto" w:fill="CCEEFF"/>
          </w:tcPr>
          <w:p>
            <w:pPr>
              <w:jc w:val="right"/>
              <w:ind w:right="124"/>
              <w:spacing w:after="0" w:line="234" w:lineRule="exact"/>
              <w:rPr>
                <w:sz w:val="20"/>
                <w:szCs w:val="20"/>
                <w:color w:val="auto"/>
              </w:rPr>
            </w:pPr>
            <w:r>
              <w:rPr>
                <w:rFonts w:ascii="Calibri" w:cs="Calibri" w:eastAsia="Calibri" w:hAnsi="Calibri"/>
                <w:sz w:val="20"/>
                <w:szCs w:val="20"/>
                <w:color w:val="auto"/>
              </w:rPr>
              <w:t>62,679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320" w:type="dxa"/>
            <w:vAlign w:val="bottom"/>
            <w:tcBorders>
              <w:bottom w:val="single" w:sz="8" w:color="auto"/>
            </w:tcBorders>
            <w:gridSpan w:val="3"/>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49,876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
              <w:spacing w:after="0" w:line="234" w:lineRule="exact"/>
              <w:rPr>
                <w:sz w:val="20"/>
                <w:szCs w:val="20"/>
                <w:color w:val="auto"/>
              </w:rPr>
            </w:pPr>
            <w:r>
              <w:rPr>
                <w:rFonts w:ascii="Calibri" w:cs="Calibri" w:eastAsia="Calibri" w:hAnsi="Calibri"/>
                <w:sz w:val="20"/>
                <w:szCs w:val="20"/>
                <w:color w:val="auto"/>
                <w:w w:val="98"/>
              </w:rPr>
              <w:t>$</w:t>
            </w:r>
          </w:p>
        </w:tc>
        <w:tc>
          <w:tcPr>
            <w:tcW w:w="1160" w:type="dxa"/>
            <w:vAlign w:val="bottom"/>
            <w:tcBorders>
              <w:bottom w:val="single" w:sz="8" w:color="auto"/>
            </w:tcBorders>
            <w:gridSpan w:val="3"/>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130,508</w:t>
            </w:r>
          </w:p>
        </w:tc>
        <w:tc>
          <w:tcPr>
            <w:tcW w:w="1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260" w:type="dxa"/>
            <w:vAlign w:val="bottom"/>
            <w:tcBorders>
              <w:bottom w:val="single" w:sz="8" w:color="auto"/>
            </w:tcBorders>
            <w:gridSpan w:val="2"/>
            <w:shd w:val="clear" w:color="auto" w:fill="CCEEFF"/>
          </w:tcPr>
          <w:p>
            <w:pPr>
              <w:jc w:val="right"/>
              <w:ind w:right="80"/>
              <w:spacing w:after="0" w:line="234" w:lineRule="exact"/>
              <w:rPr>
                <w:sz w:val="20"/>
                <w:szCs w:val="20"/>
                <w:color w:val="auto"/>
              </w:rPr>
            </w:pPr>
            <w:r>
              <w:rPr>
                <w:rFonts w:ascii="Calibri" w:cs="Calibri" w:eastAsia="Calibri" w:hAnsi="Calibri"/>
                <w:sz w:val="20"/>
                <w:szCs w:val="20"/>
                <w:color w:val="auto"/>
              </w:rPr>
              <w:t>105,975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3"/>
            <w:vMerge w:val="restart"/>
          </w:tcPr>
          <w:p>
            <w:pPr>
              <w:ind w:left="20"/>
              <w:spacing w:after="0" w:line="234" w:lineRule="exact"/>
              <w:rPr>
                <w:sz w:val="20"/>
                <w:szCs w:val="20"/>
                <w:color w:val="auto"/>
              </w:rPr>
            </w:pPr>
            <w:r>
              <w:rPr>
                <w:rFonts w:ascii="Calibri" w:cs="Calibri" w:eastAsia="Calibri" w:hAnsi="Calibri"/>
                <w:sz w:val="20"/>
                <w:szCs w:val="20"/>
                <w:color w:val="auto"/>
              </w:rPr>
              <w:t>Comparable Growth</w:t>
            </w: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spacing w:after="0" w:line="215" w:lineRule="exact"/>
              <w:rPr>
                <w:sz w:val="20"/>
                <w:szCs w:val="20"/>
                <w:color w:val="auto"/>
              </w:rPr>
            </w:pPr>
            <w:r>
              <w:rPr>
                <w:rFonts w:ascii="Calibri" w:cs="Calibri" w:eastAsia="Calibri" w:hAnsi="Calibri"/>
                <w:sz w:val="20"/>
                <w:szCs w:val="20"/>
                <w:color w:val="auto"/>
              </w:rPr>
              <w:t>25.7 %</w:t>
            </w:r>
          </w:p>
        </w:tc>
        <w:tc>
          <w:tcPr>
            <w:tcW w:w="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5"/>
          </w:tcPr>
          <w:p>
            <w:pPr>
              <w:jc w:val="right"/>
              <w:spacing w:after="0" w:line="215" w:lineRule="exact"/>
              <w:rPr>
                <w:sz w:val="20"/>
                <w:szCs w:val="20"/>
                <w:color w:val="auto"/>
              </w:rPr>
            </w:pPr>
            <w:r>
              <w:rPr>
                <w:rFonts w:ascii="Calibri" w:cs="Calibri" w:eastAsia="Calibri" w:hAnsi="Calibri"/>
                <w:sz w:val="20"/>
                <w:szCs w:val="20"/>
                <w:color w:val="auto"/>
              </w:rPr>
              <w:t>23.1 %</w:t>
            </w:r>
          </w:p>
        </w:tc>
        <w:tc>
          <w:tcPr>
            <w:tcW w:w="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1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154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8"/>
          </w:tcPr>
          <w:p>
            <w:pPr>
              <w:jc w:val="right"/>
              <w:ind w:right="820"/>
              <w:spacing w:after="0" w:line="228" w:lineRule="exact"/>
              <w:rPr>
                <w:sz w:val="20"/>
                <w:szCs w:val="20"/>
                <w:color w:val="auto"/>
              </w:rPr>
            </w:pPr>
            <w:r>
              <w:rPr>
                <w:rFonts w:ascii="Calibri" w:cs="Calibri" w:eastAsia="Calibri" w:hAnsi="Calibri"/>
                <w:sz w:val="20"/>
                <w:szCs w:val="20"/>
                <w:b w:val="1"/>
                <w:bCs w:val="1"/>
                <w:color w:val="auto"/>
              </w:rPr>
              <w:t>Obagi Medical</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4"/>
          </w:tcPr>
          <w:p>
            <w:pPr>
              <w:jc w:val="center"/>
              <w:ind w:right="240"/>
              <w:spacing w:after="0" w:line="158" w:lineRule="exact"/>
              <w:rPr>
                <w:sz w:val="20"/>
                <w:szCs w:val="20"/>
                <w:color w:val="auto"/>
              </w:rPr>
            </w:pPr>
            <w:r>
              <w:rPr>
                <w:rFonts w:ascii="Calibri" w:cs="Calibri" w:eastAsia="Calibri" w:hAnsi="Calibri"/>
                <w:sz w:val="16"/>
                <w:szCs w:val="16"/>
                <w:b w:val="1"/>
                <w:bCs w:val="1"/>
                <w:color w:val="auto"/>
              </w:rPr>
              <w:t>Three Months</w:t>
            </w:r>
          </w:p>
        </w:tc>
        <w:tc>
          <w:tcPr>
            <w:tcW w:w="140" w:type="dxa"/>
            <w:vAlign w:val="bottom"/>
          </w:tcPr>
          <w:p>
            <w:pPr>
              <w:spacing w:after="0"/>
              <w:rPr>
                <w:sz w:val="13"/>
                <w:szCs w:val="13"/>
                <w:color w:val="auto"/>
              </w:rPr>
            </w:pPr>
          </w:p>
        </w:tc>
        <w:tc>
          <w:tcPr>
            <w:tcW w:w="1320" w:type="dxa"/>
            <w:vAlign w:val="bottom"/>
            <w:gridSpan w:val="3"/>
          </w:tcPr>
          <w:p>
            <w:pPr>
              <w:jc w:val="center"/>
              <w:ind w:right="41"/>
              <w:spacing w:after="0" w:line="158" w:lineRule="exact"/>
              <w:rPr>
                <w:sz w:val="20"/>
                <w:szCs w:val="20"/>
                <w:color w:val="auto"/>
              </w:rPr>
            </w:pPr>
            <w:r>
              <w:rPr>
                <w:rFonts w:ascii="Calibri" w:cs="Calibri" w:eastAsia="Calibri" w:hAnsi="Calibri"/>
                <w:sz w:val="16"/>
                <w:szCs w:val="16"/>
                <w:b w:val="1"/>
                <w:bCs w:val="1"/>
                <w:color w:val="auto"/>
              </w:rPr>
              <w:t>Three Months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200"/>
              <w:spacing w:after="0" w:line="158" w:lineRule="exact"/>
              <w:rPr>
                <w:sz w:val="20"/>
                <w:szCs w:val="20"/>
                <w:color w:val="auto"/>
              </w:rPr>
            </w:pPr>
            <w:r>
              <w:rPr>
                <w:rFonts w:ascii="Calibri" w:cs="Calibri" w:eastAsia="Calibri" w:hAnsi="Calibri"/>
                <w:sz w:val="16"/>
                <w:szCs w:val="16"/>
                <w:b w:val="1"/>
                <w:bCs w:val="1"/>
                <w:color w:val="auto"/>
              </w:rPr>
              <w:t>Six months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4"/>
          </w:tcPr>
          <w:p>
            <w:pPr>
              <w:jc w:val="center"/>
              <w:ind w:right="240"/>
              <w:spacing w:after="0" w:line="203" w:lineRule="exact"/>
              <w:rPr>
                <w:sz w:val="20"/>
                <w:szCs w:val="20"/>
                <w:color w:val="auto"/>
              </w:rPr>
            </w:pPr>
            <w:r>
              <w:rPr>
                <w:rFonts w:ascii="Calibri" w:cs="Calibri" w:eastAsia="Calibri" w:hAnsi="Calibri"/>
                <w:sz w:val="20"/>
                <w:szCs w:val="20"/>
                <w:b w:val="1"/>
                <w:bCs w:val="1"/>
                <w:color w:val="auto"/>
              </w:rPr>
              <w:t>Ended June 30,</w:t>
            </w:r>
          </w:p>
        </w:tc>
        <w:tc>
          <w:tcPr>
            <w:tcW w:w="1460" w:type="dxa"/>
            <w:vAlign w:val="bottom"/>
            <w:gridSpan w:val="4"/>
          </w:tcPr>
          <w:p>
            <w:pPr>
              <w:jc w:val="center"/>
              <w:spacing w:after="0" w:line="203" w:lineRule="exact"/>
              <w:rPr>
                <w:sz w:val="20"/>
                <w:szCs w:val="20"/>
                <w:color w:val="auto"/>
              </w:rPr>
            </w:pPr>
            <w:r>
              <w:rPr>
                <w:rFonts w:ascii="Calibri" w:cs="Calibri" w:eastAsia="Calibri" w:hAnsi="Calibri"/>
                <w:sz w:val="20"/>
                <w:szCs w:val="20"/>
                <w:b w:val="1"/>
                <w:bCs w:val="1"/>
                <w:color w:val="auto"/>
              </w:rPr>
              <w:t>Ended June 30,</w:t>
            </w:r>
          </w:p>
        </w:tc>
        <w:tc>
          <w:tcPr>
            <w:tcW w:w="100" w:type="dxa"/>
            <w:vAlign w:val="bottom"/>
          </w:tcPr>
          <w:p>
            <w:pPr>
              <w:spacing w:after="0"/>
              <w:rPr>
                <w:sz w:val="17"/>
                <w:szCs w:val="17"/>
                <w:color w:val="auto"/>
              </w:rPr>
            </w:pPr>
          </w:p>
        </w:tc>
        <w:tc>
          <w:tcPr>
            <w:tcW w:w="1560" w:type="dxa"/>
            <w:vAlign w:val="bottom"/>
            <w:gridSpan w:val="5"/>
          </w:tcPr>
          <w:p>
            <w:pPr>
              <w:jc w:val="center"/>
              <w:spacing w:after="0" w:line="203" w:lineRule="exact"/>
              <w:rPr>
                <w:sz w:val="20"/>
                <w:szCs w:val="20"/>
                <w:color w:val="auto"/>
              </w:rPr>
            </w:pPr>
            <w:r>
              <w:rPr>
                <w:rFonts w:ascii="Calibri" w:cs="Calibri" w:eastAsia="Calibri" w:hAnsi="Calibri"/>
                <w:sz w:val="20"/>
                <w:szCs w:val="20"/>
                <w:b w:val="1"/>
                <w:bCs w:val="1"/>
                <w:color w:val="auto"/>
              </w:rPr>
              <w:t>Six months ended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spacing w:after="0" w:line="203" w:lineRule="exact"/>
              <w:rPr>
                <w:sz w:val="20"/>
                <w:szCs w:val="20"/>
                <w:color w:val="auto"/>
              </w:rPr>
            </w:pPr>
            <w:r>
              <w:rPr>
                <w:rFonts w:ascii="Calibri" w:cs="Calibri" w:eastAsia="Calibri" w:hAnsi="Calibri"/>
                <w:sz w:val="20"/>
                <w:szCs w:val="20"/>
                <w:b w:val="1"/>
                <w:bCs w:val="1"/>
                <w:color w:val="auto"/>
              </w:rPr>
              <w:t>ended June 30,</w:t>
            </w:r>
          </w:p>
        </w:tc>
        <w:tc>
          <w:tcPr>
            <w:tcW w:w="0" w:type="dxa"/>
            <w:vAlign w:val="bottom"/>
          </w:tcPr>
          <w:p>
            <w:pPr>
              <w:spacing w:after="0"/>
              <w:rPr>
                <w:sz w:val="1"/>
                <w:szCs w:val="1"/>
                <w:color w:val="auto"/>
              </w:rPr>
            </w:pPr>
          </w:p>
        </w:tc>
      </w:tr>
      <w:tr>
        <w:trPr>
          <w:trHeight w:val="253"/>
        </w:trPr>
        <w:tc>
          <w:tcPr>
            <w:tcW w:w="4540" w:type="dxa"/>
            <w:vAlign w:val="bottom"/>
            <w:gridSpan w:val="3"/>
          </w:tcPr>
          <w:p>
            <w:pPr>
              <w:ind w:left="20"/>
              <w:spacing w:after="0"/>
              <w:rPr>
                <w:sz w:val="20"/>
                <w:szCs w:val="20"/>
                <w:color w:val="auto"/>
              </w:rPr>
            </w:pPr>
            <w:r>
              <w:rPr>
                <w:rFonts w:ascii="Calibri" w:cs="Calibri" w:eastAsia="Calibri" w:hAnsi="Calibri"/>
                <w:sz w:val="16"/>
                <w:szCs w:val="16"/>
                <w:i w:val="1"/>
                <w:iCs w:val="1"/>
                <w:color w:val="auto"/>
              </w:rPr>
              <w:t>(In thousands, except for percentages)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122"/>
              <w:spacing w:after="0" w:line="234" w:lineRule="exact"/>
              <w:rPr>
                <w:sz w:val="20"/>
                <w:szCs w:val="20"/>
                <w:color w:val="auto"/>
              </w:rPr>
            </w:pPr>
            <w:r>
              <w:rPr>
                <w:rFonts w:ascii="Calibri" w:cs="Calibri" w:eastAsia="Calibri" w:hAnsi="Calibri"/>
                <w:sz w:val="20"/>
                <w:szCs w:val="20"/>
                <w:b w:val="1"/>
                <w:bCs w:val="1"/>
                <w:color w:val="auto"/>
              </w:rPr>
              <w:t>2024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center"/>
              <w:ind w:left="62"/>
              <w:spacing w:after="0" w:line="234" w:lineRule="exact"/>
              <w:rPr>
                <w:sz w:val="20"/>
                <w:szCs w:val="20"/>
                <w:color w:val="auto"/>
              </w:rPr>
            </w:pPr>
            <w:r>
              <w:rPr>
                <w:rFonts w:ascii="Calibri" w:cs="Calibri" w:eastAsia="Calibri" w:hAnsi="Calibri"/>
                <w:sz w:val="20"/>
                <w:szCs w:val="20"/>
                <w:b w:val="1"/>
                <w:bCs w:val="1"/>
                <w:color w:val="auto"/>
                <w:w w:val="98"/>
              </w:rPr>
              <w:t>2023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jc w:val="center"/>
              <w:spacing w:after="0" w:line="234" w:lineRule="exact"/>
              <w:rPr>
                <w:sz w:val="20"/>
                <w:szCs w:val="20"/>
                <w:color w:val="auto"/>
              </w:rPr>
            </w:pPr>
            <w:r>
              <w:rPr>
                <w:rFonts w:ascii="Calibri" w:cs="Calibri" w:eastAsia="Calibri" w:hAnsi="Calibri"/>
                <w:sz w:val="20"/>
                <w:szCs w:val="20"/>
                <w:b w:val="1"/>
                <w:bCs w:val="1"/>
                <w:color w:val="auto"/>
              </w:rPr>
              <w:t>June 30, 2024</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center"/>
              <w:spacing w:after="0" w:line="234" w:lineRule="exact"/>
              <w:rPr>
                <w:sz w:val="20"/>
                <w:szCs w:val="20"/>
                <w:color w:val="auto"/>
              </w:rPr>
            </w:pPr>
            <w:r>
              <w:rPr>
                <w:rFonts w:ascii="Calibri" w:cs="Calibri" w:eastAsia="Calibri" w:hAnsi="Calibri"/>
                <w:sz w:val="20"/>
                <w:szCs w:val="20"/>
                <w:b w:val="1"/>
                <w:bCs w:val="1"/>
                <w:color w:val="auto"/>
              </w:rPr>
              <w:t>2023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
        </w:trPr>
        <w:tc>
          <w:tcPr>
            <w:tcW w:w="19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40" w:type="dxa"/>
            <w:vAlign w:val="bottom"/>
            <w:tcBorders>
              <w:top w:val="single" w:sz="8" w:color="auto"/>
              <w:bottom w:val="single" w:sz="8" w:color="CCEEFF"/>
            </w:tcBorders>
            <w:gridSpan w:val="3"/>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Net Revenue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60" w:type="dxa"/>
            <w:vAlign w:val="bottom"/>
            <w:tcBorders>
              <w:top w:val="single" w:sz="8" w:color="auto"/>
              <w:bottom w:val="single" w:sz="8" w:color="CCEEFF"/>
            </w:tcBorders>
            <w:gridSpan w:val="3"/>
            <w:shd w:val="clear" w:color="auto" w:fill="CCEEFF"/>
          </w:tcPr>
          <w:p>
            <w:pPr>
              <w:jc w:val="right"/>
              <w:ind w:right="124"/>
              <w:spacing w:after="0" w:line="228" w:lineRule="exact"/>
              <w:rPr>
                <w:sz w:val="20"/>
                <w:szCs w:val="20"/>
                <w:color w:val="auto"/>
              </w:rPr>
            </w:pPr>
            <w:r>
              <w:rPr>
                <w:rFonts w:ascii="Calibri" w:cs="Calibri" w:eastAsia="Calibri" w:hAnsi="Calibri"/>
                <w:sz w:val="20"/>
                <w:szCs w:val="20"/>
                <w:color w:val="auto"/>
              </w:rPr>
              <w:t>34,597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320" w:type="dxa"/>
            <w:vAlign w:val="bottom"/>
            <w:tcBorders>
              <w:top w:val="single" w:sz="8" w:color="auto"/>
              <w:bottom w:val="single" w:sz="8" w:color="CCEEFF"/>
            </w:tcBorders>
            <w:gridSpan w:val="3"/>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25,464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
              <w:spacing w:after="0" w:line="228" w:lineRule="exact"/>
              <w:rPr>
                <w:sz w:val="20"/>
                <w:szCs w:val="20"/>
                <w:color w:val="auto"/>
              </w:rPr>
            </w:pPr>
            <w:r>
              <w:rPr>
                <w:rFonts w:ascii="Calibri" w:cs="Calibri" w:eastAsia="Calibri" w:hAnsi="Calibri"/>
                <w:sz w:val="20"/>
                <w:szCs w:val="20"/>
                <w:color w:val="auto"/>
                <w:w w:val="98"/>
              </w:rPr>
              <w:t>$</w:t>
            </w:r>
          </w:p>
        </w:tc>
        <w:tc>
          <w:tcPr>
            <w:tcW w:w="1160" w:type="dxa"/>
            <w:vAlign w:val="bottom"/>
            <w:tcBorders>
              <w:top w:val="single" w:sz="8" w:color="auto"/>
              <w:bottom w:val="single" w:sz="8" w:color="CCEEFF"/>
            </w:tcBorders>
            <w:gridSpan w:val="3"/>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68,364</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260" w:type="dxa"/>
            <w:vAlign w:val="bottom"/>
            <w:tcBorders>
              <w:top w:val="single" w:sz="8" w:color="auto"/>
              <w:bottom w:val="single" w:sz="8" w:color="CCEEFF"/>
            </w:tcBorders>
            <w:gridSpan w:val="2"/>
            <w:shd w:val="clear" w:color="auto" w:fill="CCEEFF"/>
          </w:tcPr>
          <w:p>
            <w:pPr>
              <w:jc w:val="right"/>
              <w:ind w:right="80"/>
              <w:spacing w:after="0" w:line="228" w:lineRule="exact"/>
              <w:rPr>
                <w:sz w:val="20"/>
                <w:szCs w:val="20"/>
                <w:color w:val="auto"/>
              </w:rPr>
            </w:pPr>
            <w:r>
              <w:rPr>
                <w:rFonts w:ascii="Calibri" w:cs="Calibri" w:eastAsia="Calibri" w:hAnsi="Calibri"/>
                <w:sz w:val="20"/>
                <w:szCs w:val="20"/>
                <w:color w:val="auto"/>
              </w:rPr>
              <w:t>57,014</w:t>
            </w:r>
          </w:p>
        </w:tc>
        <w:tc>
          <w:tcPr>
            <w:tcW w:w="0" w:type="dxa"/>
            <w:vAlign w:val="bottom"/>
          </w:tcPr>
          <w:p>
            <w:pPr>
              <w:spacing w:after="0"/>
              <w:rPr>
                <w:sz w:val="1"/>
                <w:szCs w:val="1"/>
                <w:color w:val="auto"/>
              </w:rPr>
            </w:pPr>
          </w:p>
        </w:tc>
      </w:tr>
      <w:tr>
        <w:trPr>
          <w:trHeight w:val="234"/>
        </w:trPr>
        <w:tc>
          <w:tcPr>
            <w:tcW w:w="4540" w:type="dxa"/>
            <w:vAlign w:val="bottom"/>
            <w:gridSpan w:val="3"/>
          </w:tcPr>
          <w:p>
            <w:pPr>
              <w:ind w:left="20"/>
              <w:spacing w:after="0" w:line="234" w:lineRule="exact"/>
              <w:rPr>
                <w:sz w:val="20"/>
                <w:szCs w:val="20"/>
                <w:color w:val="auto"/>
              </w:rPr>
            </w:pPr>
            <w:r>
              <w:rPr>
                <w:rFonts w:ascii="Calibri" w:cs="Calibri" w:eastAsia="Calibri" w:hAnsi="Calibri"/>
                <w:sz w:val="20"/>
                <w:szCs w:val="20"/>
                <w:color w:val="auto"/>
              </w:rPr>
              <w:t>Obagi Medical China Business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3"/>
          </w:tcPr>
          <w:p>
            <w:pPr>
              <w:jc w:val="right"/>
              <w:ind w:right="124"/>
              <w:spacing w:after="0" w:line="234" w:lineRule="exact"/>
              <w:rPr>
                <w:sz w:val="20"/>
                <w:szCs w:val="20"/>
                <w:color w:val="auto"/>
              </w:rPr>
            </w:pPr>
            <w:r>
              <w:rPr>
                <w:rFonts w:ascii="Calibri" w:cs="Calibri" w:eastAsia="Calibri" w:hAnsi="Calibri"/>
                <w:sz w:val="20"/>
                <w:szCs w:val="20"/>
                <w:color w:val="auto"/>
              </w:rPr>
              <w:t>632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spacing w:after="0" w:line="234" w:lineRule="exact"/>
              <w:rPr>
                <w:sz w:val="20"/>
                <w:szCs w:val="20"/>
                <w:color w:val="auto"/>
              </w:rPr>
            </w:pPr>
            <w:r>
              <w:rPr>
                <w:rFonts w:ascii="Calibri" w:cs="Calibri" w:eastAsia="Calibri" w:hAnsi="Calibri"/>
                <w:sz w:val="20"/>
                <w:szCs w:val="20"/>
                <w:color w:val="auto"/>
              </w:rPr>
              <w:t>(490)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spacing w:after="0" w:line="234" w:lineRule="exact"/>
              <w:rPr>
                <w:sz w:val="20"/>
                <w:szCs w:val="20"/>
                <w:color w:val="auto"/>
              </w:rPr>
            </w:pPr>
            <w:r>
              <w:rPr>
                <w:rFonts w:ascii="Calibri" w:cs="Calibri" w:eastAsia="Calibri" w:hAnsi="Calibri"/>
                <w:sz w:val="20"/>
                <w:szCs w:val="20"/>
                <w:color w:val="auto"/>
              </w:rPr>
              <w:t>1,074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80"/>
              <w:spacing w:after="0" w:line="234" w:lineRule="exact"/>
              <w:rPr>
                <w:sz w:val="20"/>
                <w:szCs w:val="20"/>
                <w:color w:val="auto"/>
              </w:rPr>
            </w:pPr>
            <w:r>
              <w:rPr>
                <w:rFonts w:ascii="Calibri" w:cs="Calibri" w:eastAsia="Calibri" w:hAnsi="Calibri"/>
                <w:sz w:val="20"/>
                <w:szCs w:val="20"/>
                <w:color w:val="auto"/>
              </w:rPr>
              <w:t>3,363</w:t>
            </w: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540" w:type="dxa"/>
            <w:vAlign w:val="bottom"/>
            <w:tcBorders>
              <w:top w:val="single" w:sz="8" w:color="CCEEFF"/>
              <w:bottom w:val="single" w:sz="8" w:color="CCEEFF"/>
            </w:tcBorders>
            <w:gridSpan w:val="3"/>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Comparable Net Revenue</w:t>
            </w:r>
          </w:p>
        </w:tc>
        <w:tc>
          <w:tcPr>
            <w:tcW w:w="3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460" w:type="dxa"/>
            <w:vAlign w:val="bottom"/>
            <w:tcBorders>
              <w:top w:val="single" w:sz="8" w:color="auto"/>
              <w:bottom w:val="single" w:sz="8" w:color="auto"/>
            </w:tcBorders>
            <w:gridSpan w:val="3"/>
            <w:shd w:val="clear" w:color="auto" w:fill="CCEEFF"/>
          </w:tcPr>
          <w:p>
            <w:pPr>
              <w:jc w:val="right"/>
              <w:ind w:right="124"/>
              <w:spacing w:after="0" w:line="234" w:lineRule="exact"/>
              <w:rPr>
                <w:sz w:val="20"/>
                <w:szCs w:val="20"/>
                <w:color w:val="auto"/>
              </w:rPr>
            </w:pPr>
            <w:r>
              <w:rPr>
                <w:rFonts w:ascii="Calibri" w:cs="Calibri" w:eastAsia="Calibri" w:hAnsi="Calibri"/>
                <w:sz w:val="20"/>
                <w:szCs w:val="20"/>
                <w:color w:val="auto"/>
              </w:rPr>
              <w:t>33,965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320" w:type="dxa"/>
            <w:vAlign w:val="bottom"/>
            <w:tcBorders>
              <w:top w:val="single" w:sz="8" w:color="auto"/>
              <w:bottom w:val="single" w:sz="8" w:color="auto"/>
            </w:tcBorders>
            <w:gridSpan w:val="3"/>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25,954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
              <w:spacing w:after="0" w:line="234" w:lineRule="exact"/>
              <w:rPr>
                <w:sz w:val="20"/>
                <w:szCs w:val="20"/>
                <w:color w:val="auto"/>
              </w:rPr>
            </w:pPr>
            <w:r>
              <w:rPr>
                <w:rFonts w:ascii="Calibri" w:cs="Calibri" w:eastAsia="Calibri" w:hAnsi="Calibri"/>
                <w:sz w:val="20"/>
                <w:szCs w:val="20"/>
                <w:color w:val="auto"/>
                <w:w w:val="98"/>
              </w:rPr>
              <w:t>$</w:t>
            </w:r>
          </w:p>
        </w:tc>
        <w:tc>
          <w:tcPr>
            <w:tcW w:w="1160" w:type="dxa"/>
            <w:vAlign w:val="bottom"/>
            <w:tcBorders>
              <w:top w:val="single" w:sz="8" w:color="auto"/>
              <w:bottom w:val="single" w:sz="8" w:color="auto"/>
            </w:tcBorders>
            <w:gridSpan w:val="3"/>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67,290</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260" w:type="dxa"/>
            <w:vAlign w:val="bottom"/>
            <w:tcBorders>
              <w:top w:val="single" w:sz="8" w:color="auto"/>
              <w:bottom w:val="single" w:sz="8" w:color="auto"/>
            </w:tcBorders>
            <w:gridSpan w:val="2"/>
            <w:shd w:val="clear" w:color="auto" w:fill="CCEEFF"/>
          </w:tcPr>
          <w:p>
            <w:pPr>
              <w:jc w:val="right"/>
              <w:ind w:right="80"/>
              <w:spacing w:after="0" w:line="234" w:lineRule="exact"/>
              <w:rPr>
                <w:sz w:val="20"/>
                <w:szCs w:val="20"/>
                <w:color w:val="auto"/>
              </w:rPr>
            </w:pPr>
            <w:r>
              <w:rPr>
                <w:rFonts w:ascii="Calibri" w:cs="Calibri" w:eastAsia="Calibri" w:hAnsi="Calibri"/>
                <w:sz w:val="20"/>
                <w:szCs w:val="20"/>
                <w:color w:val="auto"/>
              </w:rPr>
              <w:t>53,651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3"/>
            <w:vMerge w:val="restart"/>
          </w:tcPr>
          <w:p>
            <w:pPr>
              <w:ind w:left="20"/>
              <w:spacing w:after="0" w:line="234" w:lineRule="exact"/>
              <w:rPr>
                <w:sz w:val="20"/>
                <w:szCs w:val="20"/>
                <w:color w:val="auto"/>
              </w:rPr>
            </w:pPr>
            <w:r>
              <w:rPr>
                <w:rFonts w:ascii="Calibri" w:cs="Calibri" w:eastAsia="Calibri" w:hAnsi="Calibri"/>
                <w:sz w:val="20"/>
                <w:szCs w:val="20"/>
                <w:color w:val="auto"/>
              </w:rPr>
              <w:t>Comparable Growth</w:t>
            </w: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spacing w:after="0" w:line="215" w:lineRule="exact"/>
              <w:rPr>
                <w:sz w:val="20"/>
                <w:szCs w:val="20"/>
                <w:color w:val="auto"/>
              </w:rPr>
            </w:pPr>
            <w:r>
              <w:rPr>
                <w:rFonts w:ascii="Calibri" w:cs="Calibri" w:eastAsia="Calibri" w:hAnsi="Calibri"/>
                <w:sz w:val="20"/>
                <w:szCs w:val="20"/>
                <w:color w:val="auto"/>
              </w:rPr>
              <w:t>30.9 %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5"/>
          </w:tcPr>
          <w:p>
            <w:pPr>
              <w:jc w:val="right"/>
              <w:spacing w:after="0" w:line="215" w:lineRule="exact"/>
              <w:rPr>
                <w:sz w:val="20"/>
                <w:szCs w:val="20"/>
                <w:color w:val="auto"/>
              </w:rPr>
            </w:pPr>
            <w:r>
              <w:rPr>
                <w:rFonts w:ascii="Calibri" w:cs="Calibri" w:eastAsia="Calibri" w:hAnsi="Calibri"/>
                <w:sz w:val="20"/>
                <w:szCs w:val="20"/>
                <w:color w:val="auto"/>
              </w:rPr>
              <w:t>25.4 %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5"/>
        </w:trPr>
        <w:tc>
          <w:tcPr>
            <w:tcW w:w="4540" w:type="dxa"/>
            <w:vAlign w:val="bottom"/>
            <w:gridSpan w:val="3"/>
          </w:tcPr>
          <w:p>
            <w:pPr>
              <w:spacing w:after="0"/>
              <w:rPr>
                <w:sz w:val="20"/>
                <w:szCs w:val="20"/>
                <w:color w:val="auto"/>
              </w:rPr>
            </w:pPr>
            <w:r>
              <w:rPr>
                <w:rFonts w:ascii="Calibri" w:cs="Calibri" w:eastAsia="Calibri" w:hAnsi="Calibri"/>
                <w:sz w:val="22"/>
                <w:szCs w:val="22"/>
                <w:b w:val="1"/>
                <w:bCs w:val="1"/>
                <w:color w:val="auto"/>
              </w:rPr>
              <w:t>Adjusted Gross Proft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90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5"/>
          </w:tcPr>
          <w:p>
            <w:pPr>
              <w:jc w:val="right"/>
              <w:ind w:right="181"/>
              <w:spacing w:after="0" w:line="228" w:lineRule="exact"/>
              <w:rPr>
                <w:sz w:val="20"/>
                <w:szCs w:val="20"/>
                <w:color w:val="auto"/>
              </w:rPr>
            </w:pPr>
            <w:r>
              <w:rPr>
                <w:rFonts w:ascii="Calibri" w:cs="Calibri" w:eastAsia="Calibri" w:hAnsi="Calibri"/>
                <w:sz w:val="20"/>
                <w:szCs w:val="20"/>
                <w:b w:val="1"/>
                <w:bCs w:val="1"/>
                <w:color w:val="auto"/>
              </w:rPr>
              <w:t>Group</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5"/>
          </w:tcPr>
          <w:p>
            <w:pPr>
              <w:spacing w:after="0" w:line="20" w:lineRule="exact"/>
              <w:rPr>
                <w:sz w:val="1"/>
                <w:szCs w:val="1"/>
                <w:color w:val="auto"/>
              </w:rPr>
            </w:pPr>
          </w:p>
        </w:tc>
        <w:tc>
          <w:tcPr>
            <w:tcW w:w="154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5"/>
          </w:tcPr>
          <w:p>
            <w:pPr>
              <w:jc w:val="center"/>
              <w:ind w:right="120"/>
              <w:spacing w:after="0" w:line="158" w:lineRule="exact"/>
              <w:rPr>
                <w:sz w:val="20"/>
                <w:szCs w:val="20"/>
                <w:color w:val="auto"/>
              </w:rPr>
            </w:pPr>
            <w:r>
              <w:rPr>
                <w:rFonts w:ascii="Calibri" w:cs="Calibri" w:eastAsia="Calibri" w:hAnsi="Calibri"/>
                <w:sz w:val="16"/>
                <w:szCs w:val="16"/>
                <w:b w:val="1"/>
                <w:bCs w:val="1"/>
                <w:color w:val="auto"/>
              </w:rPr>
              <w:t>Three Months</w:t>
            </w:r>
          </w:p>
        </w:tc>
        <w:tc>
          <w:tcPr>
            <w:tcW w:w="1540" w:type="dxa"/>
            <w:vAlign w:val="bottom"/>
            <w:gridSpan w:val="4"/>
          </w:tcPr>
          <w:p>
            <w:pPr>
              <w:jc w:val="center"/>
              <w:spacing w:after="0" w:line="158" w:lineRule="exact"/>
              <w:rPr>
                <w:sz w:val="20"/>
                <w:szCs w:val="20"/>
                <w:color w:val="auto"/>
              </w:rPr>
            </w:pPr>
            <w:r>
              <w:rPr>
                <w:rFonts w:ascii="Calibri" w:cs="Calibri" w:eastAsia="Calibri" w:hAnsi="Calibri"/>
                <w:sz w:val="16"/>
                <w:szCs w:val="16"/>
                <w:b w:val="1"/>
                <w:bCs w:val="1"/>
                <w:color w:val="auto"/>
              </w:rPr>
              <w:t>Three Months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5"/>
          </w:tcPr>
          <w:p>
            <w:pPr>
              <w:jc w:val="center"/>
              <w:ind w:right="120"/>
              <w:spacing w:after="0" w:line="203" w:lineRule="exact"/>
              <w:rPr>
                <w:sz w:val="20"/>
                <w:szCs w:val="20"/>
                <w:color w:val="auto"/>
              </w:rPr>
            </w:pPr>
            <w:r>
              <w:rPr>
                <w:rFonts w:ascii="Calibri" w:cs="Calibri" w:eastAsia="Calibri" w:hAnsi="Calibri"/>
                <w:sz w:val="20"/>
                <w:szCs w:val="20"/>
                <w:b w:val="1"/>
                <w:bCs w:val="1"/>
                <w:color w:val="auto"/>
              </w:rPr>
              <w:t>Ended June 30,</w:t>
            </w:r>
          </w:p>
        </w:tc>
        <w:tc>
          <w:tcPr>
            <w:tcW w:w="1540" w:type="dxa"/>
            <w:vAlign w:val="bottom"/>
            <w:gridSpan w:val="4"/>
          </w:tcPr>
          <w:p>
            <w:pPr>
              <w:jc w:val="center"/>
              <w:spacing w:after="0" w:line="203" w:lineRule="exact"/>
              <w:rPr>
                <w:sz w:val="20"/>
                <w:szCs w:val="20"/>
                <w:color w:val="auto"/>
              </w:rPr>
            </w:pPr>
            <w:r>
              <w:rPr>
                <w:rFonts w:ascii="Calibri" w:cs="Calibri" w:eastAsia="Calibri" w:hAnsi="Calibri"/>
                <w:sz w:val="20"/>
                <w:szCs w:val="20"/>
                <w:b w:val="1"/>
                <w:bCs w:val="1"/>
                <w:color w:val="auto"/>
              </w:rPr>
              <w:t>Ended June 30,</w:t>
            </w:r>
          </w:p>
        </w:tc>
        <w:tc>
          <w:tcPr>
            <w:tcW w:w="100" w:type="dxa"/>
            <w:vAlign w:val="bottom"/>
          </w:tcPr>
          <w:p>
            <w:pPr>
              <w:spacing w:after="0"/>
              <w:rPr>
                <w:sz w:val="17"/>
                <w:szCs w:val="17"/>
                <w:color w:val="auto"/>
              </w:rPr>
            </w:pPr>
          </w:p>
        </w:tc>
        <w:tc>
          <w:tcPr>
            <w:tcW w:w="1660" w:type="dxa"/>
            <w:vAlign w:val="bottom"/>
            <w:gridSpan w:val="6"/>
          </w:tcPr>
          <w:p>
            <w:pPr>
              <w:jc w:val="right"/>
              <w:ind w:right="140"/>
              <w:spacing w:after="0" w:line="203" w:lineRule="exact"/>
              <w:rPr>
                <w:sz w:val="20"/>
                <w:szCs w:val="20"/>
                <w:color w:val="auto"/>
              </w:rPr>
            </w:pPr>
            <w:r>
              <w:rPr>
                <w:rFonts w:ascii="Calibri" w:cs="Calibri" w:eastAsia="Calibri" w:hAnsi="Calibri"/>
                <w:sz w:val="20"/>
                <w:szCs w:val="20"/>
                <w:b w:val="1"/>
                <w:bCs w:val="1"/>
                <w:color w:val="auto"/>
              </w:rPr>
              <w:t>Six months ended</w:t>
            </w:r>
          </w:p>
        </w:tc>
        <w:tc>
          <w:tcPr>
            <w:tcW w:w="1780" w:type="dxa"/>
            <w:vAlign w:val="bottom"/>
            <w:gridSpan w:val="6"/>
          </w:tcPr>
          <w:p>
            <w:pPr>
              <w:ind w:left="20"/>
              <w:spacing w:after="0" w:line="203" w:lineRule="exact"/>
              <w:rPr>
                <w:sz w:val="20"/>
                <w:szCs w:val="20"/>
                <w:color w:val="auto"/>
              </w:rPr>
            </w:pPr>
            <w:r>
              <w:rPr>
                <w:rFonts w:ascii="Calibri" w:cs="Calibri" w:eastAsia="Calibri" w:hAnsi="Calibri"/>
                <w:sz w:val="20"/>
                <w:szCs w:val="20"/>
                <w:b w:val="1"/>
                <w:bCs w:val="1"/>
                <w:color w:val="auto"/>
              </w:rPr>
              <w:t>Six months ended</w:t>
            </w:r>
          </w:p>
        </w:tc>
        <w:tc>
          <w:tcPr>
            <w:tcW w:w="0" w:type="dxa"/>
            <w:vAlign w:val="bottom"/>
          </w:tcPr>
          <w:p>
            <w:pPr>
              <w:spacing w:after="0"/>
              <w:rPr>
                <w:sz w:val="1"/>
                <w:szCs w:val="1"/>
                <w:color w:val="auto"/>
              </w:rPr>
            </w:pPr>
          </w:p>
        </w:tc>
      </w:tr>
      <w:tr>
        <w:trPr>
          <w:trHeight w:val="253"/>
        </w:trPr>
        <w:tc>
          <w:tcPr>
            <w:tcW w:w="4540" w:type="dxa"/>
            <w:vAlign w:val="bottom"/>
            <w:gridSpan w:val="3"/>
          </w:tcPr>
          <w:p>
            <w:pPr>
              <w:ind w:left="20"/>
              <w:spacing w:after="0"/>
              <w:rPr>
                <w:sz w:val="20"/>
                <w:szCs w:val="20"/>
                <w:color w:val="auto"/>
              </w:rPr>
            </w:pPr>
            <w:r>
              <w:rPr>
                <w:rFonts w:ascii="Calibri" w:cs="Calibri" w:eastAsia="Calibri" w:hAnsi="Calibri"/>
                <w:sz w:val="16"/>
                <w:szCs w:val="16"/>
                <w:i w:val="1"/>
                <w:iCs w:val="1"/>
                <w:color w:val="auto"/>
              </w:rPr>
              <w:t>(In thousands, except for percentages)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center"/>
              <w:ind w:right="342"/>
              <w:spacing w:after="0" w:line="234" w:lineRule="exact"/>
              <w:rPr>
                <w:sz w:val="20"/>
                <w:szCs w:val="20"/>
                <w:color w:val="auto"/>
              </w:rPr>
            </w:pPr>
            <w:r>
              <w:rPr>
                <w:rFonts w:ascii="Calibri" w:cs="Calibri" w:eastAsia="Calibri" w:hAnsi="Calibri"/>
                <w:sz w:val="20"/>
                <w:szCs w:val="20"/>
                <w:b w:val="1"/>
                <w:bCs w:val="1"/>
                <w:color w:val="auto"/>
                <w:w w:val="98"/>
              </w:rPr>
              <w:t>2024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center"/>
              <w:ind w:right="402"/>
              <w:spacing w:after="0" w:line="234" w:lineRule="exact"/>
              <w:rPr>
                <w:sz w:val="20"/>
                <w:szCs w:val="20"/>
                <w:color w:val="auto"/>
              </w:rPr>
            </w:pPr>
            <w:r>
              <w:rPr>
                <w:rFonts w:ascii="Calibri" w:cs="Calibri" w:eastAsia="Calibri" w:hAnsi="Calibri"/>
                <w:sz w:val="20"/>
                <w:szCs w:val="20"/>
                <w:b w:val="1"/>
                <w:bCs w:val="1"/>
                <w:color w:val="auto"/>
              </w:rPr>
              <w:t>2023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5"/>
          </w:tcPr>
          <w:p>
            <w:pPr>
              <w:jc w:val="right"/>
              <w:ind w:right="320"/>
              <w:spacing w:after="0" w:line="234" w:lineRule="exact"/>
              <w:rPr>
                <w:sz w:val="20"/>
                <w:szCs w:val="20"/>
                <w:color w:val="auto"/>
              </w:rPr>
            </w:pPr>
            <w:r>
              <w:rPr>
                <w:rFonts w:ascii="Calibri" w:cs="Calibri" w:eastAsia="Calibri" w:hAnsi="Calibri"/>
                <w:sz w:val="20"/>
                <w:szCs w:val="20"/>
                <w:b w:val="1"/>
                <w:bCs w:val="1"/>
                <w:color w:val="auto"/>
              </w:rPr>
              <w:t>June 30, 2024</w:t>
            </w:r>
          </w:p>
        </w:tc>
        <w:tc>
          <w:tcPr>
            <w:tcW w:w="180" w:type="dxa"/>
            <w:vAlign w:val="bottom"/>
          </w:tcPr>
          <w:p>
            <w:pPr>
              <w:spacing w:after="0"/>
              <w:rPr>
                <w:sz w:val="22"/>
                <w:szCs w:val="22"/>
                <w:color w:val="auto"/>
              </w:rPr>
            </w:pPr>
          </w:p>
        </w:tc>
        <w:tc>
          <w:tcPr>
            <w:tcW w:w="1600" w:type="dxa"/>
            <w:vAlign w:val="bottom"/>
            <w:gridSpan w:val="5"/>
          </w:tcPr>
          <w:p>
            <w:pPr>
              <w:jc w:val="right"/>
              <w:ind w:right="440"/>
              <w:spacing w:after="0" w:line="234" w:lineRule="exact"/>
              <w:rPr>
                <w:sz w:val="20"/>
                <w:szCs w:val="20"/>
                <w:color w:val="auto"/>
              </w:rPr>
            </w:pPr>
            <w:r>
              <w:rPr>
                <w:rFonts w:ascii="Calibri" w:cs="Calibri" w:eastAsia="Calibri" w:hAnsi="Calibri"/>
                <w:sz w:val="20"/>
                <w:szCs w:val="20"/>
                <w:b w:val="1"/>
                <w:bCs w:val="1"/>
                <w:color w:val="auto"/>
              </w:rPr>
              <w:t>June 30, 2023</w:t>
            </w:r>
          </w:p>
        </w:tc>
        <w:tc>
          <w:tcPr>
            <w:tcW w:w="0" w:type="dxa"/>
            <w:vAlign w:val="bottom"/>
          </w:tcPr>
          <w:p>
            <w:pPr>
              <w:spacing w:after="0"/>
              <w:rPr>
                <w:sz w:val="1"/>
                <w:szCs w:val="1"/>
                <w:color w:val="auto"/>
              </w:rPr>
            </w:pPr>
          </w:p>
        </w:tc>
      </w:tr>
      <w:tr>
        <w:trPr>
          <w:trHeight w:val="28"/>
        </w:trPr>
        <w:tc>
          <w:tcPr>
            <w:tcW w:w="4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gridSpan w:val="2"/>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Net Revenue</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
              <w:spacing w:after="0" w:line="228" w:lineRule="exact"/>
              <w:rPr>
                <w:sz w:val="20"/>
                <w:szCs w:val="20"/>
                <w:color w:val="auto"/>
              </w:rPr>
            </w:pPr>
            <w:r>
              <w:rPr>
                <w:rFonts w:ascii="Calibri" w:cs="Calibri" w:eastAsia="Calibri" w:hAnsi="Calibri"/>
                <w:sz w:val="20"/>
                <w:szCs w:val="20"/>
                <w:color w:val="auto"/>
                <w:w w:val="78"/>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2"/>
              <w:spacing w:after="0" w:line="228" w:lineRule="exact"/>
              <w:rPr>
                <w:sz w:val="20"/>
                <w:szCs w:val="20"/>
                <w:color w:val="auto"/>
              </w:rPr>
            </w:pPr>
            <w:r>
              <w:rPr>
                <w:rFonts w:ascii="Calibri" w:cs="Calibri" w:eastAsia="Calibri" w:hAnsi="Calibri"/>
                <w:sz w:val="20"/>
                <w:szCs w:val="20"/>
                <w:color w:val="auto"/>
              </w:rPr>
              <w:t>63,311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64"/>
              <w:spacing w:after="0" w:line="228" w:lineRule="exact"/>
              <w:rPr>
                <w:sz w:val="20"/>
                <w:szCs w:val="20"/>
                <w:color w:val="auto"/>
              </w:rPr>
            </w:pPr>
            <w:r>
              <w:rPr>
                <w:rFonts w:ascii="Calibri" w:cs="Calibri" w:eastAsia="Calibri" w:hAnsi="Calibri"/>
                <w:sz w:val="20"/>
                <w:szCs w:val="20"/>
                <w:color w:val="auto"/>
                <w:w w:val="98"/>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2"/>
              <w:spacing w:after="0" w:line="228" w:lineRule="exact"/>
              <w:rPr>
                <w:sz w:val="20"/>
                <w:szCs w:val="20"/>
                <w:color w:val="auto"/>
              </w:rPr>
            </w:pPr>
            <w:r>
              <w:rPr>
                <w:rFonts w:ascii="Calibri" w:cs="Calibri" w:eastAsia="Calibri" w:hAnsi="Calibri"/>
                <w:sz w:val="20"/>
                <w:szCs w:val="20"/>
                <w:color w:val="auto"/>
              </w:rPr>
              <w:t>49,386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1"/>
              <w:spacing w:after="0" w:line="228" w:lineRule="exact"/>
              <w:rPr>
                <w:sz w:val="20"/>
                <w:szCs w:val="20"/>
                <w:color w:val="auto"/>
              </w:rPr>
            </w:pPr>
            <w:r>
              <w:rPr>
                <w:rFonts w:ascii="Calibri" w:cs="Calibri" w:eastAsia="Calibri" w:hAnsi="Calibri"/>
                <w:sz w:val="20"/>
                <w:szCs w:val="20"/>
                <w:color w:val="auto"/>
              </w:rPr>
              <w:t>131,582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line="228" w:lineRule="exact"/>
              <w:rPr>
                <w:sz w:val="20"/>
                <w:szCs w:val="20"/>
                <w:color w:val="auto"/>
              </w:rPr>
            </w:pPr>
            <w:r>
              <w:rPr>
                <w:rFonts w:ascii="Calibri" w:cs="Calibri" w:eastAsia="Calibri" w:hAnsi="Calibri"/>
                <w:sz w:val="20"/>
                <w:szCs w:val="20"/>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2"/>
              <w:spacing w:after="0" w:line="228" w:lineRule="exact"/>
              <w:rPr>
                <w:sz w:val="20"/>
                <w:szCs w:val="20"/>
                <w:color w:val="auto"/>
              </w:rPr>
            </w:pPr>
            <w:r>
              <w:rPr>
                <w:rFonts w:ascii="Calibri" w:cs="Calibri" w:eastAsia="Calibri" w:hAnsi="Calibri"/>
                <w:sz w:val="20"/>
                <w:szCs w:val="20"/>
                <w:color w:val="auto"/>
              </w:rPr>
              <w:t>109,338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40" w:type="dxa"/>
            <w:vAlign w:val="bottom"/>
            <w:gridSpan w:val="3"/>
          </w:tcPr>
          <w:p>
            <w:pPr>
              <w:ind w:left="20"/>
              <w:spacing w:after="0" w:line="234" w:lineRule="exact"/>
              <w:rPr>
                <w:sz w:val="20"/>
                <w:szCs w:val="20"/>
                <w:color w:val="auto"/>
              </w:rPr>
            </w:pPr>
            <w:r>
              <w:rPr>
                <w:rFonts w:ascii="Calibri" w:cs="Calibri" w:eastAsia="Calibri" w:hAnsi="Calibri"/>
                <w:sz w:val="20"/>
                <w:szCs w:val="20"/>
                <w:color w:val="auto"/>
              </w:rPr>
              <w:t>Gross Proft</w:t>
            </w:r>
          </w:p>
        </w:tc>
        <w:tc>
          <w:tcPr>
            <w:tcW w:w="200" w:type="dxa"/>
            <w:vAlign w:val="bottom"/>
          </w:tcPr>
          <w:p>
            <w:pPr>
              <w:jc w:val="right"/>
              <w:ind w:right="4"/>
              <w:spacing w:after="0" w:line="234" w:lineRule="exact"/>
              <w:rPr>
                <w:sz w:val="20"/>
                <w:szCs w:val="20"/>
                <w:color w:val="auto"/>
              </w:rPr>
            </w:pPr>
            <w:r>
              <w:rPr>
                <w:rFonts w:ascii="Calibri" w:cs="Calibri" w:eastAsia="Calibri" w:hAnsi="Calibri"/>
                <w:sz w:val="20"/>
                <w:szCs w:val="20"/>
                <w:color w:val="auto"/>
                <w:w w:val="78"/>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22"/>
              <w:spacing w:after="0" w:line="234" w:lineRule="exact"/>
              <w:rPr>
                <w:sz w:val="20"/>
                <w:szCs w:val="20"/>
                <w:color w:val="auto"/>
              </w:rPr>
            </w:pPr>
            <w:r>
              <w:rPr>
                <w:rFonts w:ascii="Calibri" w:cs="Calibri" w:eastAsia="Calibri" w:hAnsi="Calibri"/>
                <w:sz w:val="20"/>
                <w:szCs w:val="20"/>
                <w:color w:val="auto"/>
              </w:rPr>
              <w:t>44,593</w:t>
            </w:r>
          </w:p>
        </w:tc>
        <w:tc>
          <w:tcPr>
            <w:tcW w:w="100" w:type="dxa"/>
            <w:vAlign w:val="bottom"/>
          </w:tcPr>
          <w:p>
            <w:pPr>
              <w:spacing w:after="0"/>
              <w:rPr>
                <w:sz w:val="20"/>
                <w:szCs w:val="20"/>
                <w:color w:val="auto"/>
              </w:rPr>
            </w:pPr>
          </w:p>
        </w:tc>
        <w:tc>
          <w:tcPr>
            <w:tcW w:w="280" w:type="dxa"/>
            <w:vAlign w:val="bottom"/>
          </w:tcPr>
          <w:p>
            <w:pPr>
              <w:jc w:val="right"/>
              <w:ind w:right="64"/>
              <w:spacing w:after="0" w:line="234" w:lineRule="exact"/>
              <w:rPr>
                <w:sz w:val="20"/>
                <w:szCs w:val="20"/>
                <w:color w:val="auto"/>
              </w:rPr>
            </w:pPr>
            <w:r>
              <w:rPr>
                <w:rFonts w:ascii="Calibri" w:cs="Calibri" w:eastAsia="Calibri" w:hAnsi="Calibri"/>
                <w:sz w:val="20"/>
                <w:szCs w:val="20"/>
                <w:color w:val="auto"/>
                <w:w w:val="98"/>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22"/>
              <w:spacing w:after="0" w:line="234" w:lineRule="exact"/>
              <w:rPr>
                <w:sz w:val="20"/>
                <w:szCs w:val="20"/>
                <w:color w:val="auto"/>
              </w:rPr>
            </w:pPr>
            <w:r>
              <w:rPr>
                <w:rFonts w:ascii="Calibri" w:cs="Calibri" w:eastAsia="Calibri" w:hAnsi="Calibri"/>
                <w:sz w:val="20"/>
                <w:szCs w:val="20"/>
                <w:color w:val="auto"/>
              </w:rPr>
              <w:t>31,151</w:t>
            </w:r>
          </w:p>
        </w:tc>
        <w:tc>
          <w:tcPr>
            <w:tcW w:w="280" w:type="dxa"/>
            <w:vAlign w:val="bottom"/>
            <w:gridSpan w:val="2"/>
          </w:tcPr>
          <w:p>
            <w:pPr>
              <w:jc w:val="right"/>
              <w:spacing w:after="0" w:line="234" w:lineRule="exact"/>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94,178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line="234" w:lineRule="exact"/>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2"/>
              <w:spacing w:after="0" w:line="234" w:lineRule="exact"/>
              <w:rPr>
                <w:sz w:val="20"/>
                <w:szCs w:val="20"/>
                <w:color w:val="auto"/>
              </w:rPr>
            </w:pPr>
            <w:r>
              <w:rPr>
                <w:rFonts w:ascii="Calibri" w:cs="Calibri" w:eastAsia="Calibri" w:hAnsi="Calibri"/>
                <w:sz w:val="20"/>
                <w:szCs w:val="20"/>
                <w:color w:val="auto"/>
              </w:rPr>
              <w:t>68,180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gridSpan w:val="3"/>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Gross Proft Margin</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70.4 %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63.1 %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71.6 %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62.4 %</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40" w:type="dxa"/>
            <w:vAlign w:val="bottom"/>
            <w:gridSpan w:val="3"/>
          </w:tcPr>
          <w:p>
            <w:pPr>
              <w:ind w:left="20"/>
              <w:spacing w:after="0" w:line="234" w:lineRule="exact"/>
              <w:rPr>
                <w:sz w:val="20"/>
                <w:szCs w:val="20"/>
                <w:color w:val="auto"/>
              </w:rPr>
            </w:pPr>
            <w:r>
              <w:rPr>
                <w:rFonts w:ascii="Calibri" w:cs="Calibri" w:eastAsia="Calibri" w:hAnsi="Calibri"/>
                <w:sz w:val="20"/>
                <w:szCs w:val="20"/>
                <w:color w:val="auto"/>
              </w:rPr>
              <w:t>Gross Margin Adjustments: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gridSpan w:val="3"/>
            <w:shd w:val="clear" w:color="auto" w:fill="CCEEFF"/>
          </w:tcPr>
          <w:p>
            <w:pPr>
              <w:ind w:left="20"/>
              <w:spacing w:after="0" w:line="163" w:lineRule="exact"/>
              <w:rPr>
                <w:sz w:val="20"/>
                <w:szCs w:val="20"/>
                <w:color w:val="auto"/>
              </w:rPr>
            </w:pPr>
            <w:r>
              <w:rPr>
                <w:rFonts w:ascii="Calibri" w:cs="Calibri" w:eastAsia="Calibri" w:hAnsi="Calibri"/>
                <w:sz w:val="16"/>
                <w:szCs w:val="16"/>
                <w:color w:val="auto"/>
              </w:rPr>
              <w:t>Amortzaton of the fair value of the related party</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4540" w:type="dxa"/>
            <w:vAlign w:val="bottom"/>
            <w:gridSpan w:val="3"/>
            <w:shd w:val="clear" w:color="auto" w:fill="CCEEFF"/>
          </w:tcPr>
          <w:p>
            <w:pPr>
              <w:ind w:left="20"/>
              <w:spacing w:after="0" w:line="283" w:lineRule="exact"/>
              <w:rPr>
                <w:sz w:val="20"/>
                <w:szCs w:val="20"/>
                <w:color w:val="auto"/>
              </w:rPr>
            </w:pPr>
            <w:r>
              <w:rPr>
                <w:rFonts w:ascii="Calibri" w:cs="Calibri" w:eastAsia="Calibri" w:hAnsi="Calibri"/>
                <w:sz w:val="20"/>
                <w:szCs w:val="20"/>
                <w:color w:val="auto"/>
              </w:rPr>
              <w:t>liability</w:t>
            </w:r>
            <w:r>
              <w:rPr>
                <w:rFonts w:ascii="Calibri" w:cs="Calibri" w:eastAsia="Calibri" w:hAnsi="Calibri"/>
                <w:sz w:val="25"/>
                <w:szCs w:val="25"/>
                <w:color w:val="auto"/>
                <w:vertAlign w:val="superscript"/>
              </w:rPr>
              <w:t>(1)</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2"/>
              <w:spacing w:after="0" w:line="235" w:lineRule="exact"/>
              <w:rPr>
                <w:sz w:val="20"/>
                <w:szCs w:val="20"/>
                <w:color w:val="auto"/>
              </w:rPr>
            </w:pPr>
            <w:r>
              <w:rPr>
                <w:rFonts w:ascii="Calibri" w:cs="Calibri" w:eastAsia="Calibri" w:hAnsi="Calibri"/>
                <w:sz w:val="20"/>
                <w:szCs w:val="20"/>
                <w:color w:val="auto"/>
              </w:rPr>
              <w:t>(461)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2"/>
              <w:spacing w:after="0" w:line="235" w:lineRule="exact"/>
              <w:rPr>
                <w:sz w:val="20"/>
                <w:szCs w:val="20"/>
                <w:color w:val="auto"/>
              </w:rPr>
            </w:pPr>
            <w:r>
              <w:rPr>
                <w:rFonts w:ascii="Calibri" w:cs="Calibri" w:eastAsia="Calibri" w:hAnsi="Calibri"/>
                <w:sz w:val="20"/>
                <w:szCs w:val="20"/>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1"/>
              <w:spacing w:after="0" w:line="235" w:lineRule="exact"/>
              <w:rPr>
                <w:sz w:val="20"/>
                <w:szCs w:val="20"/>
                <w:color w:val="auto"/>
              </w:rPr>
            </w:pPr>
            <w:r>
              <w:rPr>
                <w:rFonts w:ascii="Calibri" w:cs="Calibri" w:eastAsia="Calibri" w:hAnsi="Calibri"/>
                <w:sz w:val="20"/>
                <w:szCs w:val="20"/>
                <w:color w:val="auto"/>
              </w:rPr>
              <w:t>(778)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line="235" w:lineRule="exact"/>
              <w:rPr>
                <w:sz w:val="20"/>
                <w:szCs w:val="20"/>
                <w:color w:val="auto"/>
              </w:rPr>
            </w:pPr>
            <w:r>
              <w:rPr>
                <w:rFonts w:ascii="Calibri" w:cs="Calibri" w:eastAsia="Calibri" w:hAnsi="Calibri"/>
                <w:sz w:val="20"/>
                <w:szCs w:val="20"/>
                <w:color w:val="auto"/>
              </w:rPr>
              <w:t>(2,371)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40" w:type="dxa"/>
            <w:vAlign w:val="bottom"/>
            <w:gridSpan w:val="3"/>
          </w:tcPr>
          <w:p>
            <w:pPr>
              <w:ind w:left="20"/>
              <w:spacing w:after="0" w:line="256" w:lineRule="exact"/>
              <w:rPr>
                <w:sz w:val="20"/>
                <w:szCs w:val="20"/>
                <w:color w:val="auto"/>
              </w:rPr>
            </w:pPr>
            <w:r>
              <w:rPr>
                <w:rFonts w:ascii="Calibri" w:cs="Calibri" w:eastAsia="Calibri" w:hAnsi="Calibri"/>
                <w:sz w:val="20"/>
                <w:szCs w:val="20"/>
                <w:color w:val="auto"/>
              </w:rPr>
              <w:t>Amortzaton of the inventory fair value adjustment</w:t>
            </w:r>
            <w:r>
              <w:rPr>
                <w:rFonts w:ascii="Calibri" w:cs="Calibri" w:eastAsia="Calibri" w:hAnsi="Calibri"/>
                <w:sz w:val="25"/>
                <w:szCs w:val="25"/>
                <w:color w:val="auto"/>
                <w:vertAlign w:val="superscript"/>
              </w:rPr>
              <w:t>(2)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320"/>
              <w:spacing w:after="0" w:line="234" w:lineRule="exact"/>
              <w:rPr>
                <w:sz w:val="20"/>
                <w:szCs w:val="20"/>
                <w:color w:val="auto"/>
              </w:rPr>
            </w:pPr>
            <w:r>
              <w:rPr>
                <w:rFonts w:ascii="Calibri" w:cs="Calibri" w:eastAsia="Calibri" w:hAnsi="Calibri"/>
                <w:sz w:val="20"/>
                <w:szCs w:val="20"/>
                <w:color w:val="auto"/>
              </w:rPr>
              <w:t>—</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122"/>
              <w:spacing w:after="0" w:line="234" w:lineRule="exact"/>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jc w:val="right"/>
              <w:ind w:right="340"/>
              <w:spacing w:after="0" w:line="234" w:lineRule="exact"/>
              <w:rPr>
                <w:sz w:val="20"/>
                <w:szCs w:val="20"/>
                <w:color w:val="auto"/>
              </w:rPr>
            </w:pPr>
            <w:r>
              <w:rPr>
                <w:rFonts w:ascii="Calibri" w:cs="Calibri" w:eastAsia="Calibri" w:hAnsi="Calibri"/>
                <w:sz w:val="20"/>
                <w:szCs w:val="20"/>
                <w:color w:val="auto"/>
              </w:rPr>
              <w:t>—</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22"/>
              <w:spacing w:after="0" w:line="234" w:lineRule="exact"/>
              <w:rPr>
                <w:sz w:val="20"/>
                <w:szCs w:val="20"/>
                <w:color w:val="auto"/>
              </w:rPr>
            </w:pPr>
            <w:r>
              <w:rPr>
                <w:rFonts w:ascii="Calibri" w:cs="Calibri" w:eastAsia="Calibri" w:hAnsi="Calibri"/>
                <w:sz w:val="20"/>
                <w:szCs w:val="20"/>
                <w:color w:val="auto"/>
              </w:rPr>
              <w:t>1,691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40" w:type="dxa"/>
            <w:vAlign w:val="bottom"/>
            <w:gridSpan w:val="3"/>
            <w:shd w:val="clear" w:color="auto" w:fill="CCEEFF"/>
          </w:tcPr>
          <w:p>
            <w:pPr>
              <w:ind w:left="20"/>
              <w:spacing w:after="0" w:line="256" w:lineRule="exact"/>
              <w:rPr>
                <w:sz w:val="20"/>
                <w:szCs w:val="20"/>
                <w:color w:val="auto"/>
              </w:rPr>
            </w:pPr>
            <w:r>
              <w:rPr>
                <w:rFonts w:ascii="Calibri" w:cs="Calibri" w:eastAsia="Calibri" w:hAnsi="Calibri"/>
                <w:sz w:val="20"/>
                <w:szCs w:val="20"/>
                <w:color w:val="auto"/>
              </w:rPr>
              <w:t>Discontnued product write-of</w:t>
            </w:r>
            <w:r>
              <w:rPr>
                <w:rFonts w:ascii="Calibri" w:cs="Calibri" w:eastAsia="Calibri" w:hAnsi="Calibri"/>
                <w:sz w:val="25"/>
                <w:szCs w:val="25"/>
                <w:color w:val="auto"/>
                <w:vertAlign w:val="superscript"/>
              </w:rPr>
              <w:t>(3)</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2"/>
              <w:spacing w:after="0" w:line="234" w:lineRule="exact"/>
              <w:rPr>
                <w:sz w:val="20"/>
                <w:szCs w:val="20"/>
                <w:color w:val="auto"/>
              </w:rPr>
            </w:pPr>
            <w:r>
              <w:rPr>
                <w:rFonts w:ascii="Calibri" w:cs="Calibri" w:eastAsia="Calibri" w:hAnsi="Calibri"/>
                <w:sz w:val="20"/>
                <w:szCs w:val="20"/>
                <w:color w:val="auto"/>
              </w:rPr>
              <w:t>526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2"/>
              <w:spacing w:after="0" w:line="234" w:lineRule="exact"/>
              <w:rPr>
                <w:sz w:val="20"/>
                <w:szCs w:val="20"/>
                <w:color w:val="auto"/>
              </w:rPr>
            </w:pPr>
            <w:r>
              <w:rPr>
                <w:rFonts w:ascii="Calibri" w:cs="Calibri" w:eastAsia="Calibri" w:hAnsi="Calibri"/>
                <w:sz w:val="20"/>
                <w:szCs w:val="20"/>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526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2"/>
              <w:spacing w:after="0" w:line="234" w:lineRule="exact"/>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gridSpan w:val="3"/>
          </w:tcPr>
          <w:p>
            <w:pPr>
              <w:ind w:left="20"/>
              <w:spacing w:after="0" w:line="256" w:lineRule="exact"/>
              <w:rPr>
                <w:sz w:val="20"/>
                <w:szCs w:val="20"/>
                <w:color w:val="auto"/>
              </w:rPr>
            </w:pPr>
            <w:r>
              <w:rPr>
                <w:rFonts w:ascii="Calibri" w:cs="Calibri" w:eastAsia="Calibri" w:hAnsi="Calibri"/>
                <w:sz w:val="20"/>
                <w:szCs w:val="20"/>
                <w:color w:val="auto"/>
              </w:rPr>
              <w:t>Amortzaton impact of intangible assets</w:t>
            </w:r>
            <w:r>
              <w:rPr>
                <w:rFonts w:ascii="Calibri" w:cs="Calibri" w:eastAsia="Calibri" w:hAnsi="Calibri"/>
                <w:sz w:val="25"/>
                <w:szCs w:val="25"/>
                <w:color w:val="auto"/>
                <w:vertAlign w:val="superscript"/>
              </w:rPr>
              <w:t>(4)</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2"/>
              <w:spacing w:after="0" w:line="234" w:lineRule="exact"/>
              <w:rPr>
                <w:sz w:val="20"/>
                <w:szCs w:val="20"/>
                <w:color w:val="auto"/>
              </w:rPr>
            </w:pPr>
            <w:r>
              <w:rPr>
                <w:rFonts w:ascii="Calibri" w:cs="Calibri" w:eastAsia="Calibri" w:hAnsi="Calibri"/>
                <w:sz w:val="20"/>
                <w:szCs w:val="20"/>
                <w:color w:val="auto"/>
              </w:rPr>
              <w:t>2,801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2"/>
              <w:spacing w:after="0" w:line="234" w:lineRule="exact"/>
              <w:rPr>
                <w:sz w:val="20"/>
                <w:szCs w:val="20"/>
                <w:color w:val="auto"/>
              </w:rPr>
            </w:pPr>
            <w:r>
              <w:rPr>
                <w:rFonts w:ascii="Calibri" w:cs="Calibri" w:eastAsia="Calibri" w:hAnsi="Calibri"/>
                <w:sz w:val="20"/>
                <w:szCs w:val="20"/>
                <w:color w:val="auto"/>
              </w:rPr>
              <w:t>2,682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1"/>
              <w:spacing w:after="0" w:line="234" w:lineRule="exact"/>
              <w:rPr>
                <w:sz w:val="20"/>
                <w:szCs w:val="20"/>
                <w:color w:val="auto"/>
              </w:rPr>
            </w:pPr>
            <w:r>
              <w:rPr>
                <w:rFonts w:ascii="Calibri" w:cs="Calibri" w:eastAsia="Calibri" w:hAnsi="Calibri"/>
                <w:sz w:val="20"/>
                <w:szCs w:val="20"/>
                <w:color w:val="auto"/>
              </w:rPr>
              <w:t>5,603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2"/>
              <w:spacing w:after="0" w:line="234" w:lineRule="exact"/>
              <w:rPr>
                <w:sz w:val="20"/>
                <w:szCs w:val="20"/>
                <w:color w:val="auto"/>
              </w:rPr>
            </w:pPr>
            <w:r>
              <w:rPr>
                <w:rFonts w:ascii="Calibri" w:cs="Calibri" w:eastAsia="Calibri" w:hAnsi="Calibri"/>
                <w:sz w:val="20"/>
                <w:szCs w:val="20"/>
                <w:color w:val="auto"/>
              </w:rPr>
              <w:t>5,483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3"/>
            <w:shd w:val="clear" w:color="auto" w:fill="CCEEFF"/>
          </w:tcPr>
          <w:p>
            <w:pPr>
              <w:ind w:left="20"/>
              <w:spacing w:after="0" w:line="214" w:lineRule="exact"/>
              <w:rPr>
                <w:sz w:val="20"/>
                <w:szCs w:val="20"/>
                <w:color w:val="auto"/>
              </w:rPr>
            </w:pPr>
            <w:r>
              <w:rPr>
                <w:rFonts w:ascii="Calibri" w:cs="Calibri" w:eastAsia="Calibri" w:hAnsi="Calibri"/>
                <w:sz w:val="20"/>
                <w:szCs w:val="20"/>
                <w:color w:val="auto"/>
              </w:rPr>
              <w:t>Adjusted Gross Proft</w:t>
            </w:r>
          </w:p>
        </w:tc>
        <w:tc>
          <w:tcPr>
            <w:tcW w:w="200" w:type="dxa"/>
            <w:vAlign w:val="bottom"/>
            <w:tcBorders>
              <w:bottom w:val="single" w:sz="8" w:color="CCEEFF"/>
            </w:tcBorders>
            <w:shd w:val="clear" w:color="auto" w:fill="CCEEFF"/>
          </w:tcPr>
          <w:p>
            <w:pPr>
              <w:jc w:val="right"/>
              <w:ind w:right="4"/>
              <w:spacing w:after="0" w:line="228" w:lineRule="exact"/>
              <w:rPr>
                <w:sz w:val="20"/>
                <w:szCs w:val="20"/>
                <w:color w:val="auto"/>
              </w:rPr>
            </w:pPr>
            <w:r>
              <w:rPr>
                <w:rFonts w:ascii="Calibri" w:cs="Calibri" w:eastAsia="Calibri" w:hAnsi="Calibri"/>
                <w:sz w:val="20"/>
                <w:szCs w:val="20"/>
                <w:color w:val="auto"/>
                <w:w w:val="78"/>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2"/>
              <w:spacing w:after="0" w:line="228" w:lineRule="exact"/>
              <w:rPr>
                <w:sz w:val="20"/>
                <w:szCs w:val="20"/>
                <w:color w:val="auto"/>
              </w:rPr>
            </w:pPr>
            <w:r>
              <w:rPr>
                <w:rFonts w:ascii="Calibri" w:cs="Calibri" w:eastAsia="Calibri" w:hAnsi="Calibri"/>
                <w:sz w:val="20"/>
                <w:szCs w:val="20"/>
                <w:color w:val="auto"/>
              </w:rPr>
              <w:t>47,459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64"/>
              <w:spacing w:after="0" w:line="228" w:lineRule="exact"/>
              <w:rPr>
                <w:sz w:val="20"/>
                <w:szCs w:val="20"/>
                <w:color w:val="auto"/>
              </w:rPr>
            </w:pPr>
            <w:r>
              <w:rPr>
                <w:rFonts w:ascii="Calibri" w:cs="Calibri" w:eastAsia="Calibri" w:hAnsi="Calibri"/>
                <w:sz w:val="20"/>
                <w:szCs w:val="20"/>
                <w:color w:val="auto"/>
                <w:w w:val="98"/>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2"/>
              <w:spacing w:after="0" w:line="228" w:lineRule="exact"/>
              <w:rPr>
                <w:sz w:val="20"/>
                <w:szCs w:val="20"/>
                <w:color w:val="auto"/>
              </w:rPr>
            </w:pPr>
            <w:r>
              <w:rPr>
                <w:rFonts w:ascii="Calibri" w:cs="Calibri" w:eastAsia="Calibri" w:hAnsi="Calibri"/>
                <w:sz w:val="20"/>
                <w:szCs w:val="20"/>
                <w:color w:val="auto"/>
              </w:rPr>
              <w:t>33,833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1"/>
              <w:spacing w:after="0" w:line="228" w:lineRule="exact"/>
              <w:rPr>
                <w:sz w:val="20"/>
                <w:szCs w:val="20"/>
                <w:color w:val="auto"/>
              </w:rPr>
            </w:pPr>
            <w:r>
              <w:rPr>
                <w:rFonts w:ascii="Calibri" w:cs="Calibri" w:eastAsia="Calibri" w:hAnsi="Calibri"/>
                <w:sz w:val="20"/>
                <w:szCs w:val="20"/>
                <w:color w:val="auto"/>
              </w:rPr>
              <w:t>99,529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line="228" w:lineRule="exact"/>
              <w:rPr>
                <w:sz w:val="20"/>
                <w:szCs w:val="20"/>
                <w:color w:val="auto"/>
              </w:rPr>
            </w:pPr>
            <w:r>
              <w:rPr>
                <w:rFonts w:ascii="Calibri" w:cs="Calibri" w:eastAsia="Calibri" w:hAnsi="Calibri"/>
                <w:sz w:val="20"/>
                <w:szCs w:val="20"/>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2"/>
              <w:spacing w:after="0" w:line="228" w:lineRule="exact"/>
              <w:rPr>
                <w:sz w:val="20"/>
                <w:szCs w:val="20"/>
                <w:color w:val="auto"/>
              </w:rPr>
            </w:pPr>
            <w:r>
              <w:rPr>
                <w:rFonts w:ascii="Calibri" w:cs="Calibri" w:eastAsia="Calibri" w:hAnsi="Calibri"/>
                <w:sz w:val="20"/>
                <w:szCs w:val="20"/>
                <w:color w:val="auto"/>
              </w:rPr>
              <w:t>72,983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40" w:type="dxa"/>
            <w:vAlign w:val="bottom"/>
            <w:gridSpan w:val="3"/>
          </w:tcPr>
          <w:p>
            <w:pPr>
              <w:ind w:left="20"/>
              <w:spacing w:after="0" w:line="234" w:lineRule="exact"/>
              <w:rPr>
                <w:sz w:val="20"/>
                <w:szCs w:val="20"/>
                <w:color w:val="auto"/>
              </w:rPr>
            </w:pPr>
            <w:r>
              <w:rPr>
                <w:rFonts w:ascii="Calibri" w:cs="Calibri" w:eastAsia="Calibri" w:hAnsi="Calibri"/>
                <w:sz w:val="20"/>
                <w:szCs w:val="20"/>
                <w:color w:val="auto"/>
              </w:rPr>
              <w:t>Adjusted Gross Margin %</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line="234" w:lineRule="exact"/>
              <w:rPr>
                <w:sz w:val="20"/>
                <w:szCs w:val="20"/>
                <w:color w:val="auto"/>
              </w:rPr>
            </w:pPr>
            <w:r>
              <w:rPr>
                <w:rFonts w:ascii="Calibri" w:cs="Calibri" w:eastAsia="Calibri" w:hAnsi="Calibri"/>
                <w:sz w:val="20"/>
                <w:szCs w:val="20"/>
                <w:color w:val="auto"/>
              </w:rPr>
              <w:t>75.0 %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line="234" w:lineRule="exact"/>
              <w:rPr>
                <w:sz w:val="20"/>
                <w:szCs w:val="20"/>
                <w:color w:val="auto"/>
              </w:rPr>
            </w:pPr>
            <w:r>
              <w:rPr>
                <w:rFonts w:ascii="Calibri" w:cs="Calibri" w:eastAsia="Calibri" w:hAnsi="Calibri"/>
                <w:sz w:val="20"/>
                <w:szCs w:val="20"/>
                <w:color w:val="auto"/>
              </w:rPr>
              <w:t>68.5 %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line="234" w:lineRule="exact"/>
              <w:rPr>
                <w:sz w:val="20"/>
                <w:szCs w:val="20"/>
                <w:color w:val="auto"/>
              </w:rPr>
            </w:pPr>
            <w:r>
              <w:rPr>
                <w:rFonts w:ascii="Calibri" w:cs="Calibri" w:eastAsia="Calibri" w:hAnsi="Calibri"/>
                <w:sz w:val="20"/>
                <w:szCs w:val="20"/>
                <w:color w:val="auto"/>
              </w:rPr>
              <w:t>75.6 %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line="234" w:lineRule="exact"/>
              <w:rPr>
                <w:sz w:val="20"/>
                <w:szCs w:val="20"/>
                <w:color w:val="auto"/>
              </w:rPr>
            </w:pPr>
            <w:r>
              <w:rPr>
                <w:rFonts w:ascii="Calibri" w:cs="Calibri" w:eastAsia="Calibri" w:hAnsi="Calibri"/>
                <w:sz w:val="20"/>
                <w:szCs w:val="20"/>
                <w:color w:val="auto"/>
              </w:rPr>
              <w:t>66.7 %</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80" w:hanging="172"/>
        <w:spacing w:after="0"/>
        <w:tabs>
          <w:tab w:leader="none" w:pos="180" w:val="left"/>
        </w:tabs>
        <w:numPr>
          <w:ilvl w:val="0"/>
          <w:numId w:val="7"/>
        </w:numPr>
        <w:rPr>
          <w:rFonts w:ascii="Calibri" w:cs="Calibri" w:eastAsia="Calibri" w:hAnsi="Calibri"/>
          <w:sz w:val="23"/>
          <w:szCs w:val="23"/>
          <w:color w:val="auto"/>
          <w:vertAlign w:val="superscript"/>
        </w:rPr>
      </w:pPr>
      <w:r>
        <w:rPr>
          <w:rFonts w:ascii="Calibri" w:cs="Calibri" w:eastAsia="Calibri" w:hAnsi="Calibri"/>
          <w:sz w:val="16"/>
          <w:szCs w:val="16"/>
          <w:color w:val="auto"/>
        </w:rPr>
        <w:t>Relates to the fair value of the related party liability for the unfavorable discount to the Obagi Medical China Business as part of the Business Combinaton.</w:t>
      </w:r>
    </w:p>
    <w:p>
      <w:pPr>
        <w:spacing w:after="0" w:line="65" w:lineRule="exact"/>
        <w:rPr>
          <w:rFonts w:ascii="Calibri" w:cs="Calibri" w:eastAsia="Calibri" w:hAnsi="Calibri"/>
          <w:sz w:val="23"/>
          <w:szCs w:val="23"/>
          <w:color w:val="auto"/>
          <w:vertAlign w:val="superscript"/>
        </w:rPr>
      </w:pPr>
    </w:p>
    <w:p>
      <w:pPr>
        <w:ind w:left="180" w:hanging="172"/>
        <w:spacing w:after="0" w:line="186" w:lineRule="auto"/>
        <w:tabs>
          <w:tab w:leader="none" w:pos="180" w:val="left"/>
        </w:tabs>
        <w:numPr>
          <w:ilvl w:val="0"/>
          <w:numId w:val="7"/>
        </w:numPr>
        <w:rPr>
          <w:rFonts w:ascii="Calibri" w:cs="Calibri" w:eastAsia="Calibri" w:hAnsi="Calibri"/>
          <w:sz w:val="22"/>
          <w:szCs w:val="22"/>
          <w:color w:val="auto"/>
          <w:vertAlign w:val="superscript"/>
        </w:rPr>
      </w:pPr>
      <w:r>
        <w:rPr>
          <w:rFonts w:ascii="Calibri" w:cs="Calibri" w:eastAsia="Calibri" w:hAnsi="Calibri"/>
          <w:sz w:val="17"/>
          <w:szCs w:val="17"/>
          <w:color w:val="auto"/>
        </w:rPr>
        <w:t>R</w:t>
      </w:r>
      <w:r>
        <w:rPr>
          <w:rFonts w:ascii="Calibri" w:cs="Calibri" w:eastAsia="Calibri" w:hAnsi="Calibri"/>
          <w:sz w:val="15"/>
          <w:szCs w:val="15"/>
          <w:color w:val="auto"/>
        </w:rPr>
        <w:t>elates to the amortzaton of the inventory fair value step-up as a result of the Business Combinaton.</w:t>
      </w:r>
    </w:p>
    <w:p>
      <w:pPr>
        <w:spacing w:after="0" w:line="72" w:lineRule="exact"/>
        <w:rPr>
          <w:rFonts w:ascii="Calibri" w:cs="Calibri" w:eastAsia="Calibri" w:hAnsi="Calibri"/>
          <w:sz w:val="22"/>
          <w:szCs w:val="22"/>
          <w:color w:val="auto"/>
          <w:vertAlign w:val="superscript"/>
        </w:rPr>
      </w:pPr>
    </w:p>
    <w:p>
      <w:pPr>
        <w:ind w:left="180" w:hanging="172"/>
        <w:spacing w:after="0" w:line="199" w:lineRule="auto"/>
        <w:tabs>
          <w:tab w:leader="none" w:pos="201" w:val="left"/>
        </w:tabs>
        <w:numPr>
          <w:ilvl w:val="0"/>
          <w:numId w:val="7"/>
        </w:numPr>
        <w:rPr>
          <w:rFonts w:ascii="Calibri" w:cs="Calibri" w:eastAsia="Calibri" w:hAnsi="Calibri"/>
          <w:sz w:val="23"/>
          <w:szCs w:val="23"/>
          <w:color w:val="auto"/>
          <w:vertAlign w:val="superscript"/>
        </w:rPr>
      </w:pPr>
      <w:r>
        <w:rPr>
          <w:rFonts w:ascii="Calibri" w:cs="Calibri" w:eastAsia="Calibri" w:hAnsi="Calibri"/>
          <w:sz w:val="16"/>
          <w:szCs w:val="16"/>
          <w:color w:val="auto"/>
        </w:rPr>
        <w:t>Relates to the advanced purchase of specifc products for the market in Vietnam sold through the Vietnam distributor that became obsolete when the contract was terminated.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240"/>
          </w:cols>
          <w:pgMar w:left="320" w:top="1152" w:right="339" w:bottom="1440" w:gutter="0" w:footer="0" w:header="0"/>
        </w:sectPr>
      </w:pPr>
    </w:p>
    <w:bookmarkStart w:id="13" w:name="page14"/>
    <w:bookmarkEnd w:id="13"/>
    <w:p>
      <w:pPr>
        <w:ind w:left="180" w:hanging="172"/>
        <w:spacing w:after="0"/>
        <w:tabs>
          <w:tab w:leader="none" w:pos="180" w:val="left"/>
        </w:tabs>
        <w:numPr>
          <w:ilvl w:val="0"/>
          <w:numId w:val="8"/>
        </w:numPr>
        <w:rPr>
          <w:rFonts w:ascii="Calibri" w:cs="Calibri" w:eastAsia="Calibri" w:hAnsi="Calibri"/>
          <w:sz w:val="23"/>
          <w:szCs w:val="23"/>
          <w:color w:val="auto"/>
          <w:vertAlign w:val="superscript"/>
        </w:rPr>
      </w:pPr>
      <w:r>
        <w:rPr>
          <w:rFonts w:ascii="Calibri" w:cs="Calibri" w:eastAsia="Calibri" w:hAnsi="Calibri"/>
          <w:sz w:val="16"/>
          <w:szCs w:val="16"/>
          <w:color w:val="auto"/>
        </w:rPr>
        <w:t>The Supply Agreement and Formulatons intangible assets are amortzed to COGS.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0" w:type="dxa"/>
            <w:vAlign w:val="bottom"/>
            <w:tcBorders>
              <w:top w:val="single" w:sz="8" w:color="auto"/>
            </w:tcBorders>
            <w:gridSpan w:val="5"/>
          </w:tcPr>
          <w:p>
            <w:pPr>
              <w:jc w:val="center"/>
              <w:ind w:right="240"/>
              <w:spacing w:after="0"/>
              <w:rPr>
                <w:sz w:val="20"/>
                <w:szCs w:val="20"/>
                <w:color w:val="auto"/>
              </w:rPr>
            </w:pPr>
            <w:r>
              <w:rPr>
                <w:rFonts w:ascii="Calibri" w:cs="Calibri" w:eastAsia="Calibri" w:hAnsi="Calibri"/>
                <w:sz w:val="20"/>
                <w:szCs w:val="20"/>
                <w:b w:val="1"/>
                <w:bCs w:val="1"/>
                <w:color w:val="auto"/>
              </w:rPr>
              <w:t>Obagi Medical</w:t>
            </w: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40"/>
              <w:spacing w:after="0" w:line="172" w:lineRule="exact"/>
              <w:rPr>
                <w:sz w:val="20"/>
                <w:szCs w:val="20"/>
                <w:color w:val="auto"/>
              </w:rPr>
            </w:pPr>
            <w:r>
              <w:rPr>
                <w:rFonts w:ascii="Calibri" w:cs="Calibri" w:eastAsia="Calibri" w:hAnsi="Calibri"/>
                <w:sz w:val="18"/>
                <w:szCs w:val="18"/>
                <w:b w:val="1"/>
                <w:bCs w:val="1"/>
                <w:color w:val="auto"/>
              </w:rPr>
              <w:t>Three Months</w:t>
            </w:r>
          </w:p>
        </w:tc>
        <w:tc>
          <w:tcPr>
            <w:tcW w:w="120" w:type="dxa"/>
            <w:vAlign w:val="bottom"/>
          </w:tcPr>
          <w:p>
            <w:pPr>
              <w:spacing w:after="0"/>
              <w:rPr>
                <w:sz w:val="14"/>
                <w:szCs w:val="14"/>
                <w:color w:val="auto"/>
              </w:rPr>
            </w:pPr>
          </w:p>
        </w:tc>
        <w:tc>
          <w:tcPr>
            <w:tcW w:w="1540" w:type="dxa"/>
            <w:vAlign w:val="bottom"/>
            <w:gridSpan w:val="2"/>
          </w:tcPr>
          <w:p>
            <w:pPr>
              <w:jc w:val="center"/>
              <w:ind w:right="240"/>
              <w:spacing w:after="0" w:line="172" w:lineRule="exact"/>
              <w:rPr>
                <w:sz w:val="20"/>
                <w:szCs w:val="20"/>
                <w:color w:val="auto"/>
              </w:rPr>
            </w:pPr>
            <w:r>
              <w:rPr>
                <w:rFonts w:ascii="Calibri" w:cs="Calibri" w:eastAsia="Calibri" w:hAnsi="Calibri"/>
                <w:sz w:val="18"/>
                <w:szCs w:val="18"/>
                <w:b w:val="1"/>
                <w:bCs w:val="1"/>
                <w:color w:val="auto"/>
              </w:rPr>
              <w:t>Three Months</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line="189" w:lineRule="exact"/>
              <w:rPr>
                <w:sz w:val="20"/>
                <w:szCs w:val="20"/>
                <w:color w:val="auto"/>
              </w:rPr>
            </w:pPr>
            <w:r>
              <w:rPr>
                <w:rFonts w:ascii="Calibri" w:cs="Calibri" w:eastAsia="Calibri" w:hAnsi="Calibri"/>
                <w:sz w:val="20"/>
                <w:szCs w:val="20"/>
                <w:b w:val="1"/>
                <w:bCs w:val="1"/>
                <w:color w:val="auto"/>
              </w:rPr>
              <w:t>Ended June 30,</w:t>
            </w:r>
          </w:p>
        </w:tc>
        <w:tc>
          <w:tcPr>
            <w:tcW w:w="120" w:type="dxa"/>
            <w:vAlign w:val="bottom"/>
          </w:tcPr>
          <w:p>
            <w:pPr>
              <w:spacing w:after="0"/>
              <w:rPr>
                <w:sz w:val="16"/>
                <w:szCs w:val="16"/>
                <w:color w:val="auto"/>
              </w:rPr>
            </w:pPr>
          </w:p>
        </w:tc>
        <w:tc>
          <w:tcPr>
            <w:tcW w:w="1540" w:type="dxa"/>
            <w:vAlign w:val="bottom"/>
            <w:gridSpan w:val="2"/>
          </w:tcPr>
          <w:p>
            <w:pPr>
              <w:jc w:val="center"/>
              <w:ind w:right="240"/>
              <w:spacing w:after="0" w:line="189" w:lineRule="exact"/>
              <w:rPr>
                <w:sz w:val="20"/>
                <w:szCs w:val="20"/>
                <w:color w:val="auto"/>
              </w:rPr>
            </w:pPr>
            <w:r>
              <w:rPr>
                <w:rFonts w:ascii="Calibri" w:cs="Calibri" w:eastAsia="Calibri" w:hAnsi="Calibri"/>
                <w:sz w:val="20"/>
                <w:szCs w:val="20"/>
                <w:b w:val="1"/>
                <w:bCs w:val="1"/>
                <w:color w:val="auto"/>
              </w:rPr>
              <w:t>Ended June 30,</w:t>
            </w:r>
          </w:p>
        </w:tc>
        <w:tc>
          <w:tcPr>
            <w:tcW w:w="1660" w:type="dxa"/>
            <w:vAlign w:val="bottom"/>
            <w:gridSpan w:val="3"/>
          </w:tcPr>
          <w:p>
            <w:pPr>
              <w:ind w:left="20"/>
              <w:spacing w:after="0" w:line="189" w:lineRule="exact"/>
              <w:rPr>
                <w:sz w:val="20"/>
                <w:szCs w:val="20"/>
                <w:color w:val="auto"/>
              </w:rPr>
            </w:pPr>
            <w:r>
              <w:rPr>
                <w:rFonts w:ascii="Calibri" w:cs="Calibri" w:eastAsia="Calibri" w:hAnsi="Calibri"/>
                <w:sz w:val="20"/>
                <w:szCs w:val="20"/>
                <w:b w:val="1"/>
                <w:bCs w:val="1"/>
                <w:color w:val="auto"/>
              </w:rPr>
              <w:t>Six months ended</w:t>
            </w:r>
          </w:p>
        </w:tc>
        <w:tc>
          <w:tcPr>
            <w:tcW w:w="1560" w:type="dxa"/>
            <w:vAlign w:val="bottom"/>
            <w:gridSpan w:val="2"/>
          </w:tcPr>
          <w:p>
            <w:pPr>
              <w:ind w:left="20"/>
              <w:spacing w:after="0" w:line="189" w:lineRule="exact"/>
              <w:rPr>
                <w:sz w:val="20"/>
                <w:szCs w:val="20"/>
                <w:color w:val="auto"/>
              </w:rPr>
            </w:pPr>
            <w:r>
              <w:rPr>
                <w:rFonts w:ascii="Calibri" w:cs="Calibri" w:eastAsia="Calibri" w:hAnsi="Calibri"/>
                <w:sz w:val="20"/>
                <w:szCs w:val="20"/>
                <w:b w:val="1"/>
                <w:bCs w:val="1"/>
                <w:color w:val="auto"/>
              </w:rPr>
              <w:t>Six months ended</w:t>
            </w:r>
          </w:p>
        </w:tc>
        <w:tc>
          <w:tcPr>
            <w:tcW w:w="0" w:type="dxa"/>
            <w:vAlign w:val="bottom"/>
          </w:tcPr>
          <w:p>
            <w:pPr>
              <w:spacing w:after="0"/>
              <w:rPr>
                <w:sz w:val="1"/>
                <w:szCs w:val="1"/>
                <w:color w:val="auto"/>
              </w:rPr>
            </w:pPr>
          </w:p>
        </w:tc>
      </w:tr>
      <w:tr>
        <w:trPr>
          <w:trHeight w:val="253"/>
        </w:trPr>
        <w:tc>
          <w:tcPr>
            <w:tcW w:w="4700" w:type="dxa"/>
            <w:vAlign w:val="bottom"/>
            <w:gridSpan w:val="2"/>
          </w:tcPr>
          <w:p>
            <w:pPr>
              <w:ind w:left="20"/>
              <w:spacing w:after="0"/>
              <w:rPr>
                <w:sz w:val="20"/>
                <w:szCs w:val="20"/>
                <w:color w:val="auto"/>
              </w:rPr>
            </w:pPr>
            <w:r>
              <w:rPr>
                <w:rFonts w:ascii="Calibri" w:cs="Calibri" w:eastAsia="Calibri" w:hAnsi="Calibri"/>
                <w:sz w:val="16"/>
                <w:szCs w:val="16"/>
                <w:i w:val="1"/>
                <w:iCs w:val="1"/>
                <w:color w:val="auto"/>
              </w:rPr>
              <w:t>(In thousands, except for percentages)</w:t>
            </w:r>
          </w:p>
        </w:tc>
        <w:tc>
          <w:tcPr>
            <w:tcW w:w="120" w:type="dxa"/>
            <w:vAlign w:val="bottom"/>
          </w:tcPr>
          <w:p>
            <w:pPr>
              <w:spacing w:after="0"/>
              <w:rPr>
                <w:sz w:val="22"/>
                <w:szCs w:val="22"/>
                <w:color w:val="auto"/>
              </w:rPr>
            </w:pPr>
          </w:p>
        </w:tc>
        <w:tc>
          <w:tcPr>
            <w:tcW w:w="1440" w:type="dxa"/>
            <w:vAlign w:val="bottom"/>
          </w:tcPr>
          <w:p>
            <w:pPr>
              <w:jc w:val="center"/>
              <w:ind w:right="22"/>
              <w:spacing w:after="0" w:line="234" w:lineRule="exact"/>
              <w:rPr>
                <w:sz w:val="20"/>
                <w:szCs w:val="20"/>
                <w:color w:val="auto"/>
              </w:rPr>
            </w:pPr>
            <w:r>
              <w:rPr>
                <w:rFonts w:ascii="Calibri" w:cs="Calibri" w:eastAsia="Calibri" w:hAnsi="Calibri"/>
                <w:sz w:val="20"/>
                <w:szCs w:val="20"/>
                <w:b w:val="1"/>
                <w:bCs w:val="1"/>
                <w:color w:val="auto"/>
                <w:w w:val="98"/>
              </w:rPr>
              <w:t>2024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center"/>
              <w:ind w:right="22"/>
              <w:spacing w:after="0" w:line="234" w:lineRule="exact"/>
              <w:rPr>
                <w:sz w:val="20"/>
                <w:szCs w:val="20"/>
                <w:color w:val="auto"/>
              </w:rPr>
            </w:pPr>
            <w:r>
              <w:rPr>
                <w:rFonts w:ascii="Calibri" w:cs="Calibri" w:eastAsia="Calibri" w:hAnsi="Calibri"/>
                <w:sz w:val="20"/>
                <w:szCs w:val="20"/>
                <w:b w:val="1"/>
                <w:bCs w:val="1"/>
                <w:color w:val="auto"/>
                <w:w w:val="98"/>
              </w:rPr>
              <w:t>2023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June 30, 2024</w:t>
            </w:r>
          </w:p>
        </w:tc>
        <w:tc>
          <w:tcPr>
            <w:tcW w:w="160" w:type="dxa"/>
            <w:vAlign w:val="bottom"/>
          </w:tcPr>
          <w:p>
            <w:pPr>
              <w:spacing w:after="0"/>
              <w:rPr>
                <w:sz w:val="22"/>
                <w:szCs w:val="22"/>
                <w:color w:val="auto"/>
              </w:rPr>
            </w:pPr>
          </w:p>
        </w:tc>
        <w:tc>
          <w:tcPr>
            <w:tcW w:w="1400" w:type="dxa"/>
            <w:vAlign w:val="bottom"/>
          </w:tcPr>
          <w:p>
            <w:pPr>
              <w:jc w:val="right"/>
              <w:ind w:right="121"/>
              <w:spacing w:after="0"/>
              <w:rPr>
                <w:sz w:val="20"/>
                <w:szCs w:val="20"/>
                <w:color w:val="auto"/>
              </w:rPr>
            </w:pPr>
            <w:r>
              <w:rPr>
                <w:rFonts w:ascii="Calibri" w:cs="Calibri" w:eastAsia="Calibri" w:hAnsi="Calibri"/>
                <w:sz w:val="20"/>
                <w:szCs w:val="20"/>
                <w:b w:val="1"/>
                <w:bCs w:val="1"/>
                <w:color w:val="auto"/>
              </w:rPr>
              <w:t>June 30, 2023</w:t>
            </w:r>
          </w:p>
        </w:tc>
        <w:tc>
          <w:tcPr>
            <w:tcW w:w="0" w:type="dxa"/>
            <w:vAlign w:val="bottom"/>
          </w:tcPr>
          <w:p>
            <w:pPr>
              <w:spacing w:after="0"/>
              <w:rPr>
                <w:sz w:val="1"/>
                <w:szCs w:val="1"/>
                <w:color w:val="auto"/>
              </w:rPr>
            </w:pPr>
          </w:p>
        </w:tc>
      </w:tr>
      <w:tr>
        <w:trPr>
          <w:trHeight w:val="28"/>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Net Revenue</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40" w:type="dxa"/>
            <w:vAlign w:val="bottom"/>
            <w:tcBorders>
              <w:bottom w:val="single" w:sz="8" w:color="CCEEFF"/>
            </w:tcBorders>
            <w:shd w:val="clear" w:color="auto" w:fill="CCEEFF"/>
          </w:tcPr>
          <w:p>
            <w:pPr>
              <w:jc w:val="right"/>
              <w:ind w:right="122"/>
              <w:spacing w:after="0" w:line="228" w:lineRule="exact"/>
              <w:rPr>
                <w:sz w:val="20"/>
                <w:szCs w:val="20"/>
                <w:color w:val="auto"/>
              </w:rPr>
            </w:pPr>
            <w:r>
              <w:rPr>
                <w:rFonts w:ascii="Calibri" w:cs="Calibri" w:eastAsia="Calibri" w:hAnsi="Calibri"/>
                <w:sz w:val="20"/>
                <w:szCs w:val="20"/>
                <w:color w:val="auto"/>
              </w:rPr>
              <w:t>34,597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40" w:type="dxa"/>
            <w:vAlign w:val="bottom"/>
            <w:tcBorders>
              <w:bottom w:val="single" w:sz="8" w:color="CCEEFF"/>
            </w:tcBorders>
            <w:shd w:val="clear" w:color="auto" w:fill="CCEEFF"/>
          </w:tcPr>
          <w:p>
            <w:pPr>
              <w:jc w:val="right"/>
              <w:ind w:right="122"/>
              <w:spacing w:after="0" w:line="228" w:lineRule="exact"/>
              <w:rPr>
                <w:sz w:val="20"/>
                <w:szCs w:val="20"/>
                <w:color w:val="auto"/>
              </w:rPr>
            </w:pPr>
            <w:r>
              <w:rPr>
                <w:rFonts w:ascii="Calibri" w:cs="Calibri" w:eastAsia="Calibri" w:hAnsi="Calibri"/>
                <w:sz w:val="20"/>
                <w:szCs w:val="20"/>
                <w:color w:val="auto"/>
              </w:rPr>
              <w:t>25,464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bottom w:val="single" w:sz="8" w:color="CCEEFF"/>
            </w:tcBorders>
            <w:shd w:val="clear" w:color="auto" w:fill="CCEEFF"/>
          </w:tcPr>
          <w:p>
            <w:pPr>
              <w:jc w:val="right"/>
              <w:ind w:right="121"/>
              <w:spacing w:after="0" w:line="228" w:lineRule="exact"/>
              <w:rPr>
                <w:sz w:val="20"/>
                <w:szCs w:val="20"/>
                <w:color w:val="auto"/>
              </w:rPr>
            </w:pPr>
            <w:r>
              <w:rPr>
                <w:rFonts w:ascii="Calibri" w:cs="Calibri" w:eastAsia="Calibri" w:hAnsi="Calibri"/>
                <w:sz w:val="20"/>
                <w:szCs w:val="20"/>
                <w:color w:val="auto"/>
              </w:rPr>
              <w:t>68,364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bottom w:val="single" w:sz="8" w:color="CCEEFF"/>
            </w:tcBorders>
            <w:shd w:val="clear" w:color="auto" w:fill="CCEEFF"/>
          </w:tcPr>
          <w:p>
            <w:pPr>
              <w:jc w:val="right"/>
              <w:ind w:right="121"/>
              <w:spacing w:after="0" w:line="228" w:lineRule="exact"/>
              <w:rPr>
                <w:sz w:val="20"/>
                <w:szCs w:val="20"/>
                <w:color w:val="auto"/>
              </w:rPr>
            </w:pPr>
            <w:r>
              <w:rPr>
                <w:rFonts w:ascii="Calibri" w:cs="Calibri" w:eastAsia="Calibri" w:hAnsi="Calibri"/>
                <w:sz w:val="20"/>
                <w:szCs w:val="20"/>
                <w:color w:val="auto"/>
              </w:rPr>
              <w:t>57,014</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Gross Proft</w:t>
            </w:r>
          </w:p>
        </w:tc>
        <w:tc>
          <w:tcPr>
            <w:tcW w:w="12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440" w:type="dxa"/>
            <w:vAlign w:val="bottom"/>
          </w:tcPr>
          <w:p>
            <w:pPr>
              <w:jc w:val="right"/>
              <w:ind w:right="122"/>
              <w:spacing w:after="0" w:line="234" w:lineRule="exact"/>
              <w:rPr>
                <w:sz w:val="20"/>
                <w:szCs w:val="20"/>
                <w:color w:val="auto"/>
              </w:rPr>
            </w:pPr>
            <w:r>
              <w:rPr>
                <w:rFonts w:ascii="Calibri" w:cs="Calibri" w:eastAsia="Calibri" w:hAnsi="Calibri"/>
                <w:sz w:val="20"/>
                <w:szCs w:val="20"/>
                <w:color w:val="auto"/>
              </w:rPr>
              <w:t>24,582</w:t>
            </w:r>
          </w:p>
        </w:tc>
        <w:tc>
          <w:tcPr>
            <w:tcW w:w="100" w:type="dxa"/>
            <w:vAlign w:val="bottom"/>
          </w:tcPr>
          <w:p>
            <w:pPr>
              <w:spacing w:after="0"/>
              <w:rPr>
                <w:sz w:val="20"/>
                <w:szCs w:val="20"/>
                <w:color w:val="auto"/>
              </w:rPr>
            </w:pPr>
          </w:p>
        </w:tc>
        <w:tc>
          <w:tcPr>
            <w:tcW w:w="12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440" w:type="dxa"/>
            <w:vAlign w:val="bottom"/>
          </w:tcPr>
          <w:p>
            <w:pPr>
              <w:jc w:val="right"/>
              <w:ind w:right="122"/>
              <w:spacing w:after="0" w:line="234" w:lineRule="exact"/>
              <w:rPr>
                <w:sz w:val="20"/>
                <w:szCs w:val="20"/>
                <w:color w:val="auto"/>
              </w:rPr>
            </w:pPr>
            <w:r>
              <w:rPr>
                <w:rFonts w:ascii="Calibri" w:cs="Calibri" w:eastAsia="Calibri" w:hAnsi="Calibri"/>
                <w:sz w:val="20"/>
                <w:szCs w:val="20"/>
                <w:color w:val="auto"/>
              </w:rPr>
              <w:t>15,338</w:t>
            </w:r>
          </w:p>
        </w:tc>
        <w:tc>
          <w:tcPr>
            <w:tcW w:w="100" w:type="dxa"/>
            <w:vAlign w:val="bottom"/>
          </w:tcPr>
          <w:p>
            <w:pPr>
              <w:spacing w:after="0"/>
              <w:rPr>
                <w:sz w:val="20"/>
                <w:szCs w:val="20"/>
                <w:color w:val="auto"/>
              </w:rPr>
            </w:pPr>
          </w:p>
        </w:tc>
        <w:tc>
          <w:tcPr>
            <w:tcW w:w="16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49,570</w:t>
            </w:r>
          </w:p>
        </w:tc>
        <w:tc>
          <w:tcPr>
            <w:tcW w:w="100" w:type="dxa"/>
            <w:vAlign w:val="bottom"/>
          </w:tcPr>
          <w:p>
            <w:pPr>
              <w:spacing w:after="0"/>
              <w:rPr>
                <w:sz w:val="20"/>
                <w:szCs w:val="20"/>
                <w:color w:val="auto"/>
              </w:rPr>
            </w:pPr>
          </w:p>
        </w:tc>
        <w:tc>
          <w:tcPr>
            <w:tcW w:w="16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35,340</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Gross Proft Margin</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71.1 %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60.2 %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72.5 %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62.0 %</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Gross Margin Adjustments: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00" w:type="dxa"/>
            <w:vAlign w:val="bottom"/>
            <w:gridSpan w:val="2"/>
            <w:shd w:val="clear" w:color="auto" w:fill="CCEEFF"/>
          </w:tcPr>
          <w:p>
            <w:pPr>
              <w:ind w:left="20"/>
              <w:spacing w:after="0" w:line="178" w:lineRule="exact"/>
              <w:rPr>
                <w:sz w:val="20"/>
                <w:szCs w:val="20"/>
                <w:color w:val="auto"/>
              </w:rPr>
            </w:pPr>
            <w:r>
              <w:rPr>
                <w:rFonts w:ascii="Calibri" w:cs="Calibri" w:eastAsia="Calibri" w:hAnsi="Calibri"/>
                <w:sz w:val="19"/>
                <w:szCs w:val="19"/>
                <w:color w:val="auto"/>
              </w:rPr>
              <w:t>Amortzaton of the fair value of the related party</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82"/>
              <w:spacing w:after="0"/>
              <w:rPr>
                <w:sz w:val="20"/>
                <w:szCs w:val="20"/>
                <w:color w:val="auto"/>
              </w:rPr>
            </w:pPr>
            <w:r>
              <w:rPr>
                <w:rFonts w:ascii="Calibri" w:cs="Calibri" w:eastAsia="Calibri" w:hAnsi="Calibri"/>
                <w:sz w:val="20"/>
                <w:szCs w:val="20"/>
                <w:color w:val="auto"/>
              </w:rPr>
              <w:t>(461)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gridSpan w:val="2"/>
            <w:vMerge w:val="restart"/>
            <w:shd w:val="clear" w:color="auto" w:fill="CCEEFF"/>
          </w:tcPr>
          <w:p>
            <w:pPr>
              <w:jc w:val="right"/>
              <w:ind w:right="320"/>
              <w:spacing w:after="0"/>
              <w:rPr>
                <w:sz w:val="20"/>
                <w:szCs w:val="20"/>
                <w:color w:val="auto"/>
              </w:rPr>
            </w:pPr>
            <w:r>
              <w:rPr>
                <w:rFonts w:ascii="Calibri" w:cs="Calibri" w:eastAsia="Calibri" w:hAnsi="Calibri"/>
                <w:sz w:val="20"/>
                <w:szCs w:val="20"/>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1"/>
              <w:spacing w:after="0"/>
              <w:rPr>
                <w:sz w:val="20"/>
                <w:szCs w:val="20"/>
                <w:color w:val="auto"/>
              </w:rPr>
            </w:pPr>
            <w:r>
              <w:rPr>
                <w:rFonts w:ascii="Calibri" w:cs="Calibri" w:eastAsia="Calibri" w:hAnsi="Calibri"/>
                <w:sz w:val="20"/>
                <w:szCs w:val="20"/>
                <w:color w:val="auto"/>
              </w:rPr>
              <w:t>(778)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1"/>
              <w:spacing w:after="0"/>
              <w:rPr>
                <w:sz w:val="20"/>
                <w:szCs w:val="20"/>
                <w:color w:val="auto"/>
              </w:rPr>
            </w:pPr>
            <w:r>
              <w:rPr>
                <w:rFonts w:ascii="Calibri" w:cs="Calibri" w:eastAsia="Calibri" w:hAnsi="Calibri"/>
                <w:sz w:val="20"/>
                <w:szCs w:val="20"/>
                <w:color w:val="auto"/>
              </w:rPr>
              <w:t>(2,371)</w:t>
            </w:r>
          </w:p>
        </w:tc>
        <w:tc>
          <w:tcPr>
            <w:tcW w:w="0" w:type="dxa"/>
            <w:vAlign w:val="bottom"/>
          </w:tcPr>
          <w:p>
            <w:pPr>
              <w:spacing w:after="0"/>
              <w:rPr>
                <w:sz w:val="1"/>
                <w:szCs w:val="1"/>
                <w:color w:val="auto"/>
              </w:rPr>
            </w:pPr>
          </w:p>
        </w:tc>
      </w:tr>
      <w:tr>
        <w:trPr>
          <w:trHeight w:val="247"/>
        </w:trPr>
        <w:tc>
          <w:tcPr>
            <w:tcW w:w="470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Discontnued product write-of</w:t>
            </w:r>
          </w:p>
        </w:tc>
        <w:tc>
          <w:tcPr>
            <w:tcW w:w="120" w:type="dxa"/>
            <w:vAlign w:val="bottom"/>
          </w:tcPr>
          <w:p>
            <w:pPr>
              <w:spacing w:after="0"/>
              <w:rPr>
                <w:sz w:val="20"/>
                <w:szCs w:val="20"/>
                <w:color w:val="auto"/>
              </w:rPr>
            </w:pPr>
          </w:p>
        </w:tc>
        <w:tc>
          <w:tcPr>
            <w:tcW w:w="1440" w:type="dxa"/>
            <w:vAlign w:val="bottom"/>
          </w:tcPr>
          <w:p>
            <w:pPr>
              <w:jc w:val="right"/>
              <w:ind w:right="122"/>
              <w:spacing w:after="0" w:line="234" w:lineRule="exact"/>
              <w:rPr>
                <w:sz w:val="20"/>
                <w:szCs w:val="20"/>
                <w:color w:val="auto"/>
              </w:rPr>
            </w:pPr>
            <w:r>
              <w:rPr>
                <w:rFonts w:ascii="Calibri" w:cs="Calibri" w:eastAsia="Calibri" w:hAnsi="Calibri"/>
                <w:sz w:val="20"/>
                <w:szCs w:val="20"/>
                <w:color w:val="auto"/>
              </w:rPr>
              <w:t>526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320"/>
              <w:spacing w:after="0" w:line="234" w:lineRule="exact"/>
              <w:rPr>
                <w:sz w:val="20"/>
                <w:szCs w:val="20"/>
                <w:color w:val="auto"/>
              </w:rPr>
            </w:pPr>
            <w:r>
              <w:rPr>
                <w:rFonts w:ascii="Calibri" w:cs="Calibri" w:eastAsia="Calibri" w:hAnsi="Calibri"/>
                <w:sz w:val="20"/>
                <w:szCs w:val="20"/>
                <w:color w:val="auto"/>
              </w:rPr>
              <w:t>—</w:t>
            </w:r>
          </w:p>
        </w:tc>
        <w:tc>
          <w:tcPr>
            <w:tcW w:w="160" w:type="dxa"/>
            <w:vAlign w:val="bottom"/>
          </w:tcPr>
          <w:p>
            <w:pPr>
              <w:spacing w:after="0"/>
              <w:rPr>
                <w:sz w:val="20"/>
                <w:szCs w:val="20"/>
                <w:color w:val="auto"/>
              </w:rPr>
            </w:pP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Amortzaton impact of intangible assets</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2"/>
              <w:spacing w:after="0" w:line="234" w:lineRule="exact"/>
              <w:rPr>
                <w:sz w:val="20"/>
                <w:szCs w:val="20"/>
                <w:color w:val="auto"/>
              </w:rPr>
            </w:pPr>
            <w:r>
              <w:rPr>
                <w:rFonts w:ascii="Calibri" w:cs="Calibri" w:eastAsia="Calibri" w:hAnsi="Calibri"/>
                <w:sz w:val="20"/>
                <w:szCs w:val="20"/>
                <w:color w:val="auto"/>
              </w:rPr>
              <w:t>2,801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2"/>
              <w:spacing w:after="0" w:line="234" w:lineRule="exact"/>
              <w:rPr>
                <w:sz w:val="20"/>
                <w:szCs w:val="20"/>
                <w:color w:val="auto"/>
              </w:rPr>
            </w:pPr>
            <w:r>
              <w:rPr>
                <w:rFonts w:ascii="Calibri" w:cs="Calibri" w:eastAsia="Calibri" w:hAnsi="Calibri"/>
                <w:sz w:val="20"/>
                <w:szCs w:val="20"/>
                <w:color w:val="auto"/>
              </w:rPr>
              <w:t>2,682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5,603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5,483</w:t>
            </w:r>
          </w:p>
        </w:tc>
        <w:tc>
          <w:tcPr>
            <w:tcW w:w="0" w:type="dxa"/>
            <w:vAlign w:val="bottom"/>
          </w:tcPr>
          <w:p>
            <w:pPr>
              <w:spacing w:after="0"/>
              <w:rPr>
                <w:sz w:val="1"/>
                <w:szCs w:val="1"/>
                <w:color w:val="auto"/>
              </w:rPr>
            </w:pPr>
          </w:p>
        </w:tc>
      </w:tr>
      <w:tr>
        <w:trPr>
          <w:trHeight w:val="228"/>
        </w:trPr>
        <w:tc>
          <w:tcPr>
            <w:tcW w:w="4700" w:type="dxa"/>
            <w:vAlign w:val="bottom"/>
            <w:gridSpan w:val="2"/>
          </w:tcPr>
          <w:p>
            <w:pPr>
              <w:ind w:left="20"/>
              <w:spacing w:after="0" w:line="214" w:lineRule="exact"/>
              <w:rPr>
                <w:sz w:val="20"/>
                <w:szCs w:val="20"/>
                <w:color w:val="auto"/>
              </w:rPr>
            </w:pPr>
            <w:r>
              <w:rPr>
                <w:rFonts w:ascii="Calibri" w:cs="Calibri" w:eastAsia="Calibri" w:hAnsi="Calibri"/>
                <w:sz w:val="20"/>
                <w:szCs w:val="20"/>
                <w:color w:val="auto"/>
              </w:rPr>
              <w:t>Adjusted Gross Proft</w:t>
            </w:r>
          </w:p>
        </w:tc>
        <w:tc>
          <w:tcPr>
            <w:tcW w:w="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40" w:type="dxa"/>
            <w:vAlign w:val="bottom"/>
            <w:tcBorders>
              <w:top w:val="single" w:sz="8" w:color="auto"/>
            </w:tcBorders>
          </w:tcPr>
          <w:p>
            <w:pPr>
              <w:jc w:val="right"/>
              <w:ind w:right="122"/>
              <w:spacing w:after="0" w:line="228" w:lineRule="exact"/>
              <w:rPr>
                <w:sz w:val="20"/>
                <w:szCs w:val="20"/>
                <w:color w:val="auto"/>
              </w:rPr>
            </w:pPr>
            <w:r>
              <w:rPr>
                <w:rFonts w:ascii="Calibri" w:cs="Calibri" w:eastAsia="Calibri" w:hAnsi="Calibri"/>
                <w:sz w:val="20"/>
                <w:szCs w:val="20"/>
                <w:color w:val="auto"/>
              </w:rPr>
              <w:t>27,448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40" w:type="dxa"/>
            <w:vAlign w:val="bottom"/>
            <w:tcBorders>
              <w:top w:val="single" w:sz="8" w:color="auto"/>
            </w:tcBorders>
          </w:tcPr>
          <w:p>
            <w:pPr>
              <w:jc w:val="right"/>
              <w:ind w:right="122"/>
              <w:spacing w:after="0" w:line="228" w:lineRule="exact"/>
              <w:rPr>
                <w:sz w:val="20"/>
                <w:szCs w:val="20"/>
                <w:color w:val="auto"/>
              </w:rPr>
            </w:pPr>
            <w:r>
              <w:rPr>
                <w:rFonts w:ascii="Calibri" w:cs="Calibri" w:eastAsia="Calibri" w:hAnsi="Calibri"/>
                <w:sz w:val="20"/>
                <w:szCs w:val="20"/>
                <w:color w:val="auto"/>
              </w:rPr>
              <w:t>18,020</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top w:val="single" w:sz="8" w:color="auto"/>
            </w:tcBorders>
          </w:tcPr>
          <w:p>
            <w:pPr>
              <w:jc w:val="right"/>
              <w:ind w:right="121"/>
              <w:spacing w:after="0" w:line="228" w:lineRule="exact"/>
              <w:rPr>
                <w:sz w:val="20"/>
                <w:szCs w:val="20"/>
                <w:color w:val="auto"/>
              </w:rPr>
            </w:pPr>
            <w:r>
              <w:rPr>
                <w:rFonts w:ascii="Calibri" w:cs="Calibri" w:eastAsia="Calibri" w:hAnsi="Calibri"/>
                <w:sz w:val="20"/>
                <w:szCs w:val="20"/>
                <w:color w:val="auto"/>
              </w:rPr>
              <w:t>54,921</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top w:val="single" w:sz="8" w:color="auto"/>
            </w:tcBorders>
          </w:tcPr>
          <w:p>
            <w:pPr>
              <w:jc w:val="right"/>
              <w:ind w:right="121"/>
              <w:spacing w:after="0" w:line="228" w:lineRule="exact"/>
              <w:rPr>
                <w:sz w:val="20"/>
                <w:szCs w:val="20"/>
                <w:color w:val="auto"/>
              </w:rPr>
            </w:pPr>
            <w:r>
              <w:rPr>
                <w:rFonts w:ascii="Calibri" w:cs="Calibri" w:eastAsia="Calibri" w:hAnsi="Calibri"/>
                <w:sz w:val="20"/>
                <w:szCs w:val="20"/>
                <w:color w:val="auto"/>
              </w:rPr>
              <w:t>38,452</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Adjusted Gross Margin %</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79.3 %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70.8 %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80.3 %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67.4 %</w:t>
            </w:r>
          </w:p>
        </w:tc>
        <w:tc>
          <w:tcPr>
            <w:tcW w:w="0" w:type="dxa"/>
            <w:vAlign w:val="bottom"/>
          </w:tcPr>
          <w:p>
            <w:pPr>
              <w:spacing w:after="0"/>
              <w:rPr>
                <w:sz w:val="1"/>
                <w:szCs w:val="1"/>
                <w:color w:val="auto"/>
              </w:rPr>
            </w:pPr>
          </w:p>
        </w:tc>
      </w:tr>
      <w:tr>
        <w:trPr>
          <w:trHeight w:val="365"/>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5"/>
          </w:tcPr>
          <w:p>
            <w:pPr>
              <w:jc w:val="center"/>
              <w:ind w:right="220"/>
              <w:spacing w:after="0" w:line="228" w:lineRule="exact"/>
              <w:rPr>
                <w:sz w:val="20"/>
                <w:szCs w:val="20"/>
                <w:color w:val="auto"/>
              </w:rPr>
            </w:pPr>
            <w:r>
              <w:rPr>
                <w:rFonts w:ascii="Calibri" w:cs="Calibri" w:eastAsia="Calibri" w:hAnsi="Calibri"/>
                <w:sz w:val="20"/>
                <w:szCs w:val="20"/>
                <w:b w:val="1"/>
                <w:bCs w:val="1"/>
                <w:color w:val="auto"/>
              </w:rPr>
              <w:t>Milk Makeup</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40"/>
              <w:spacing w:after="0" w:line="158" w:lineRule="exact"/>
              <w:rPr>
                <w:sz w:val="20"/>
                <w:szCs w:val="20"/>
                <w:color w:val="auto"/>
              </w:rPr>
            </w:pPr>
            <w:r>
              <w:rPr>
                <w:rFonts w:ascii="Calibri" w:cs="Calibri" w:eastAsia="Calibri" w:hAnsi="Calibri"/>
                <w:sz w:val="16"/>
                <w:szCs w:val="16"/>
                <w:b w:val="1"/>
                <w:bCs w:val="1"/>
                <w:color w:val="auto"/>
              </w:rPr>
              <w:t>Three Months</w:t>
            </w:r>
          </w:p>
        </w:tc>
        <w:tc>
          <w:tcPr>
            <w:tcW w:w="120" w:type="dxa"/>
            <w:vAlign w:val="bottom"/>
          </w:tcPr>
          <w:p>
            <w:pPr>
              <w:spacing w:after="0"/>
              <w:rPr>
                <w:sz w:val="13"/>
                <w:szCs w:val="13"/>
                <w:color w:val="auto"/>
              </w:rPr>
            </w:pPr>
          </w:p>
        </w:tc>
        <w:tc>
          <w:tcPr>
            <w:tcW w:w="1540" w:type="dxa"/>
            <w:vAlign w:val="bottom"/>
            <w:gridSpan w:val="2"/>
          </w:tcPr>
          <w:p>
            <w:pPr>
              <w:jc w:val="center"/>
              <w:ind w:right="240"/>
              <w:spacing w:after="0" w:line="158" w:lineRule="exact"/>
              <w:rPr>
                <w:sz w:val="20"/>
                <w:szCs w:val="20"/>
                <w:color w:val="auto"/>
              </w:rPr>
            </w:pPr>
            <w:r>
              <w:rPr>
                <w:rFonts w:ascii="Calibri" w:cs="Calibri" w:eastAsia="Calibri" w:hAnsi="Calibri"/>
                <w:sz w:val="16"/>
                <w:szCs w:val="16"/>
                <w:b w:val="1"/>
                <w:bCs w:val="1"/>
                <w:color w:val="auto"/>
              </w:rPr>
              <w:t>Three Months</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40"/>
              <w:spacing w:after="0" w:line="203" w:lineRule="exact"/>
              <w:rPr>
                <w:sz w:val="20"/>
                <w:szCs w:val="20"/>
                <w:color w:val="auto"/>
              </w:rPr>
            </w:pPr>
            <w:r>
              <w:rPr>
                <w:rFonts w:ascii="Calibri" w:cs="Calibri" w:eastAsia="Calibri" w:hAnsi="Calibri"/>
                <w:sz w:val="20"/>
                <w:szCs w:val="20"/>
                <w:b w:val="1"/>
                <w:bCs w:val="1"/>
                <w:color w:val="auto"/>
              </w:rPr>
              <w:t>Ended June 30,</w:t>
            </w:r>
          </w:p>
        </w:tc>
        <w:tc>
          <w:tcPr>
            <w:tcW w:w="120" w:type="dxa"/>
            <w:vAlign w:val="bottom"/>
          </w:tcPr>
          <w:p>
            <w:pPr>
              <w:spacing w:after="0"/>
              <w:rPr>
                <w:sz w:val="17"/>
                <w:szCs w:val="17"/>
                <w:color w:val="auto"/>
              </w:rPr>
            </w:pPr>
          </w:p>
        </w:tc>
        <w:tc>
          <w:tcPr>
            <w:tcW w:w="1540" w:type="dxa"/>
            <w:vAlign w:val="bottom"/>
            <w:gridSpan w:val="2"/>
          </w:tcPr>
          <w:p>
            <w:pPr>
              <w:jc w:val="center"/>
              <w:ind w:right="240"/>
              <w:spacing w:after="0" w:line="203" w:lineRule="exact"/>
              <w:rPr>
                <w:sz w:val="20"/>
                <w:szCs w:val="20"/>
                <w:color w:val="auto"/>
              </w:rPr>
            </w:pPr>
            <w:r>
              <w:rPr>
                <w:rFonts w:ascii="Calibri" w:cs="Calibri" w:eastAsia="Calibri" w:hAnsi="Calibri"/>
                <w:sz w:val="20"/>
                <w:szCs w:val="20"/>
                <w:b w:val="1"/>
                <w:bCs w:val="1"/>
                <w:color w:val="auto"/>
              </w:rPr>
              <w:t>Ended June 30,</w:t>
            </w:r>
          </w:p>
        </w:tc>
        <w:tc>
          <w:tcPr>
            <w:tcW w:w="1660" w:type="dxa"/>
            <w:vAlign w:val="bottom"/>
            <w:gridSpan w:val="3"/>
          </w:tcPr>
          <w:p>
            <w:pPr>
              <w:ind w:left="20"/>
              <w:spacing w:after="0" w:line="203" w:lineRule="exact"/>
              <w:rPr>
                <w:sz w:val="20"/>
                <w:szCs w:val="20"/>
                <w:color w:val="auto"/>
              </w:rPr>
            </w:pPr>
            <w:r>
              <w:rPr>
                <w:rFonts w:ascii="Calibri" w:cs="Calibri" w:eastAsia="Calibri" w:hAnsi="Calibri"/>
                <w:sz w:val="20"/>
                <w:szCs w:val="20"/>
                <w:b w:val="1"/>
                <w:bCs w:val="1"/>
                <w:color w:val="auto"/>
              </w:rPr>
              <w:t>Six months ended</w:t>
            </w:r>
          </w:p>
        </w:tc>
        <w:tc>
          <w:tcPr>
            <w:tcW w:w="1560" w:type="dxa"/>
            <w:vAlign w:val="bottom"/>
            <w:gridSpan w:val="2"/>
          </w:tcPr>
          <w:p>
            <w:pPr>
              <w:ind w:left="20"/>
              <w:spacing w:after="0" w:line="203" w:lineRule="exact"/>
              <w:rPr>
                <w:sz w:val="20"/>
                <w:szCs w:val="20"/>
                <w:color w:val="auto"/>
              </w:rPr>
            </w:pPr>
            <w:r>
              <w:rPr>
                <w:rFonts w:ascii="Calibri" w:cs="Calibri" w:eastAsia="Calibri" w:hAnsi="Calibri"/>
                <w:sz w:val="20"/>
                <w:szCs w:val="20"/>
                <w:b w:val="1"/>
                <w:bCs w:val="1"/>
                <w:color w:val="auto"/>
              </w:rPr>
              <w:t>Six months ended</w:t>
            </w:r>
          </w:p>
        </w:tc>
        <w:tc>
          <w:tcPr>
            <w:tcW w:w="0" w:type="dxa"/>
            <w:vAlign w:val="bottom"/>
          </w:tcPr>
          <w:p>
            <w:pPr>
              <w:spacing w:after="0"/>
              <w:rPr>
                <w:sz w:val="1"/>
                <w:szCs w:val="1"/>
                <w:color w:val="auto"/>
              </w:rPr>
            </w:pPr>
          </w:p>
        </w:tc>
      </w:tr>
      <w:tr>
        <w:trPr>
          <w:trHeight w:val="253"/>
        </w:trPr>
        <w:tc>
          <w:tcPr>
            <w:tcW w:w="4700" w:type="dxa"/>
            <w:vAlign w:val="bottom"/>
            <w:gridSpan w:val="2"/>
          </w:tcPr>
          <w:p>
            <w:pPr>
              <w:ind w:left="20"/>
              <w:spacing w:after="0"/>
              <w:rPr>
                <w:sz w:val="20"/>
                <w:szCs w:val="20"/>
                <w:color w:val="auto"/>
              </w:rPr>
            </w:pPr>
            <w:r>
              <w:rPr>
                <w:rFonts w:ascii="Calibri" w:cs="Calibri" w:eastAsia="Calibri" w:hAnsi="Calibri"/>
                <w:sz w:val="16"/>
                <w:szCs w:val="16"/>
                <w:i w:val="1"/>
                <w:iCs w:val="1"/>
                <w:color w:val="auto"/>
              </w:rPr>
              <w:t>(In thousands, except for percentages)</w:t>
            </w:r>
          </w:p>
        </w:tc>
        <w:tc>
          <w:tcPr>
            <w:tcW w:w="120" w:type="dxa"/>
            <w:vAlign w:val="bottom"/>
          </w:tcPr>
          <w:p>
            <w:pPr>
              <w:spacing w:after="0"/>
              <w:rPr>
                <w:sz w:val="22"/>
                <w:szCs w:val="22"/>
                <w:color w:val="auto"/>
              </w:rPr>
            </w:pPr>
          </w:p>
        </w:tc>
        <w:tc>
          <w:tcPr>
            <w:tcW w:w="1440" w:type="dxa"/>
            <w:vAlign w:val="bottom"/>
          </w:tcPr>
          <w:p>
            <w:pPr>
              <w:jc w:val="center"/>
              <w:ind w:right="22"/>
              <w:spacing w:after="0" w:line="234" w:lineRule="exact"/>
              <w:rPr>
                <w:sz w:val="20"/>
                <w:szCs w:val="20"/>
                <w:color w:val="auto"/>
              </w:rPr>
            </w:pPr>
            <w:r>
              <w:rPr>
                <w:rFonts w:ascii="Calibri" w:cs="Calibri" w:eastAsia="Calibri" w:hAnsi="Calibri"/>
                <w:sz w:val="20"/>
                <w:szCs w:val="20"/>
                <w:b w:val="1"/>
                <w:bCs w:val="1"/>
                <w:color w:val="auto"/>
                <w:w w:val="98"/>
              </w:rPr>
              <w:t>2024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jc w:val="center"/>
              <w:ind w:right="22"/>
              <w:spacing w:after="0" w:line="234" w:lineRule="exact"/>
              <w:rPr>
                <w:sz w:val="20"/>
                <w:szCs w:val="20"/>
                <w:color w:val="auto"/>
              </w:rPr>
            </w:pPr>
            <w:r>
              <w:rPr>
                <w:rFonts w:ascii="Calibri" w:cs="Calibri" w:eastAsia="Calibri" w:hAnsi="Calibri"/>
                <w:sz w:val="20"/>
                <w:szCs w:val="20"/>
                <w:b w:val="1"/>
                <w:bCs w:val="1"/>
                <w:color w:val="auto"/>
                <w:w w:val="98"/>
              </w:rPr>
              <w:t>2023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ind w:left="40"/>
              <w:spacing w:after="0" w:line="234" w:lineRule="exact"/>
              <w:rPr>
                <w:sz w:val="20"/>
                <w:szCs w:val="20"/>
                <w:color w:val="auto"/>
              </w:rPr>
            </w:pPr>
            <w:r>
              <w:rPr>
                <w:rFonts w:ascii="Calibri" w:cs="Calibri" w:eastAsia="Calibri" w:hAnsi="Calibri"/>
                <w:sz w:val="20"/>
                <w:szCs w:val="20"/>
                <w:b w:val="1"/>
                <w:bCs w:val="1"/>
                <w:color w:val="auto"/>
              </w:rPr>
              <w:t>June 30, 2024</w:t>
            </w:r>
          </w:p>
        </w:tc>
        <w:tc>
          <w:tcPr>
            <w:tcW w:w="160" w:type="dxa"/>
            <w:vAlign w:val="bottom"/>
          </w:tcPr>
          <w:p>
            <w:pPr>
              <w:spacing w:after="0"/>
              <w:rPr>
                <w:sz w:val="22"/>
                <w:szCs w:val="22"/>
                <w:color w:val="auto"/>
              </w:rPr>
            </w:pP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b w:val="1"/>
                <w:bCs w:val="1"/>
                <w:color w:val="auto"/>
              </w:rPr>
              <w:t>June 30, 2023</w:t>
            </w:r>
          </w:p>
        </w:tc>
        <w:tc>
          <w:tcPr>
            <w:tcW w:w="0" w:type="dxa"/>
            <w:vAlign w:val="bottom"/>
          </w:tcPr>
          <w:p>
            <w:pPr>
              <w:spacing w:after="0"/>
              <w:rPr>
                <w:sz w:val="1"/>
                <w:szCs w:val="1"/>
                <w:color w:val="auto"/>
              </w:rPr>
            </w:pPr>
          </w:p>
        </w:tc>
      </w:tr>
      <w:tr>
        <w:trPr>
          <w:trHeight w:val="28"/>
        </w:trPr>
        <w:tc>
          <w:tcPr>
            <w:tcW w:w="4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00" w:type="dxa"/>
            <w:vAlign w:val="bottom"/>
            <w:tcBorders>
              <w:top w:val="single" w:sz="8" w:color="auto"/>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Net Revenue</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40" w:type="dxa"/>
            <w:vAlign w:val="bottom"/>
            <w:tcBorders>
              <w:top w:val="single" w:sz="8" w:color="auto"/>
              <w:bottom w:val="single" w:sz="8" w:color="CCEEFF"/>
            </w:tcBorders>
            <w:shd w:val="clear" w:color="auto" w:fill="CCEEFF"/>
          </w:tcPr>
          <w:p>
            <w:pPr>
              <w:jc w:val="right"/>
              <w:ind w:right="122"/>
              <w:spacing w:after="0" w:line="228" w:lineRule="exact"/>
              <w:rPr>
                <w:sz w:val="20"/>
                <w:szCs w:val="20"/>
                <w:color w:val="auto"/>
              </w:rPr>
            </w:pPr>
            <w:r>
              <w:rPr>
                <w:rFonts w:ascii="Calibri" w:cs="Calibri" w:eastAsia="Calibri" w:hAnsi="Calibri"/>
                <w:sz w:val="20"/>
                <w:szCs w:val="20"/>
                <w:color w:val="auto"/>
              </w:rPr>
              <w:t>28,714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40" w:type="dxa"/>
            <w:vAlign w:val="bottom"/>
            <w:tcBorders>
              <w:top w:val="single" w:sz="8" w:color="auto"/>
              <w:bottom w:val="single" w:sz="8" w:color="CCEEFF"/>
            </w:tcBorders>
            <w:shd w:val="clear" w:color="auto" w:fill="CCEEFF"/>
          </w:tcPr>
          <w:p>
            <w:pPr>
              <w:jc w:val="right"/>
              <w:ind w:right="122"/>
              <w:spacing w:after="0" w:line="228" w:lineRule="exact"/>
              <w:rPr>
                <w:sz w:val="20"/>
                <w:szCs w:val="20"/>
                <w:color w:val="auto"/>
              </w:rPr>
            </w:pPr>
            <w:r>
              <w:rPr>
                <w:rFonts w:ascii="Calibri" w:cs="Calibri" w:eastAsia="Calibri" w:hAnsi="Calibri"/>
                <w:sz w:val="20"/>
                <w:szCs w:val="20"/>
                <w:color w:val="auto"/>
              </w:rPr>
              <w:t>23,922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top w:val="single" w:sz="8" w:color="auto"/>
              <w:bottom w:val="single" w:sz="8" w:color="CCEEFF"/>
            </w:tcBorders>
            <w:shd w:val="clear" w:color="auto" w:fill="CCEEFF"/>
          </w:tcPr>
          <w:p>
            <w:pPr>
              <w:jc w:val="right"/>
              <w:ind w:right="121"/>
              <w:spacing w:after="0" w:line="228" w:lineRule="exact"/>
              <w:rPr>
                <w:sz w:val="20"/>
                <w:szCs w:val="20"/>
                <w:color w:val="auto"/>
              </w:rPr>
            </w:pPr>
            <w:r>
              <w:rPr>
                <w:rFonts w:ascii="Calibri" w:cs="Calibri" w:eastAsia="Calibri" w:hAnsi="Calibri"/>
                <w:sz w:val="20"/>
                <w:szCs w:val="20"/>
                <w:color w:val="auto"/>
              </w:rPr>
              <w:t>63,218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top w:val="single" w:sz="8" w:color="auto"/>
              <w:bottom w:val="single" w:sz="8" w:color="CCEEFF"/>
            </w:tcBorders>
            <w:shd w:val="clear" w:color="auto" w:fill="CCEEFF"/>
          </w:tcPr>
          <w:p>
            <w:pPr>
              <w:jc w:val="right"/>
              <w:ind w:right="121"/>
              <w:spacing w:after="0" w:line="228" w:lineRule="exact"/>
              <w:rPr>
                <w:sz w:val="20"/>
                <w:szCs w:val="20"/>
                <w:color w:val="auto"/>
              </w:rPr>
            </w:pPr>
            <w:r>
              <w:rPr>
                <w:rFonts w:ascii="Calibri" w:cs="Calibri" w:eastAsia="Calibri" w:hAnsi="Calibri"/>
                <w:sz w:val="20"/>
                <w:szCs w:val="20"/>
                <w:color w:val="auto"/>
              </w:rPr>
              <w:t>52,324</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Gross Proft</w:t>
            </w:r>
          </w:p>
        </w:tc>
        <w:tc>
          <w:tcPr>
            <w:tcW w:w="12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440" w:type="dxa"/>
            <w:vAlign w:val="bottom"/>
          </w:tcPr>
          <w:p>
            <w:pPr>
              <w:jc w:val="right"/>
              <w:ind w:right="122"/>
              <w:spacing w:after="0" w:line="234" w:lineRule="exact"/>
              <w:rPr>
                <w:sz w:val="20"/>
                <w:szCs w:val="20"/>
                <w:color w:val="auto"/>
              </w:rPr>
            </w:pPr>
            <w:r>
              <w:rPr>
                <w:rFonts w:ascii="Calibri" w:cs="Calibri" w:eastAsia="Calibri" w:hAnsi="Calibri"/>
                <w:sz w:val="20"/>
                <w:szCs w:val="20"/>
                <w:color w:val="auto"/>
              </w:rPr>
              <w:t>20,011</w:t>
            </w:r>
          </w:p>
        </w:tc>
        <w:tc>
          <w:tcPr>
            <w:tcW w:w="100" w:type="dxa"/>
            <w:vAlign w:val="bottom"/>
          </w:tcPr>
          <w:p>
            <w:pPr>
              <w:spacing w:after="0"/>
              <w:rPr>
                <w:sz w:val="20"/>
                <w:szCs w:val="20"/>
                <w:color w:val="auto"/>
              </w:rPr>
            </w:pPr>
          </w:p>
        </w:tc>
        <w:tc>
          <w:tcPr>
            <w:tcW w:w="12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440" w:type="dxa"/>
            <w:vAlign w:val="bottom"/>
          </w:tcPr>
          <w:p>
            <w:pPr>
              <w:jc w:val="right"/>
              <w:ind w:right="122"/>
              <w:spacing w:after="0" w:line="234" w:lineRule="exact"/>
              <w:rPr>
                <w:sz w:val="20"/>
                <w:szCs w:val="20"/>
                <w:color w:val="auto"/>
              </w:rPr>
            </w:pPr>
            <w:r>
              <w:rPr>
                <w:rFonts w:ascii="Calibri" w:cs="Calibri" w:eastAsia="Calibri" w:hAnsi="Calibri"/>
                <w:sz w:val="20"/>
                <w:szCs w:val="20"/>
                <w:color w:val="auto"/>
              </w:rPr>
              <w:t>15,813</w:t>
            </w:r>
          </w:p>
        </w:tc>
        <w:tc>
          <w:tcPr>
            <w:tcW w:w="100" w:type="dxa"/>
            <w:vAlign w:val="bottom"/>
          </w:tcPr>
          <w:p>
            <w:pPr>
              <w:spacing w:after="0"/>
              <w:rPr>
                <w:sz w:val="20"/>
                <w:szCs w:val="20"/>
                <w:color w:val="auto"/>
              </w:rPr>
            </w:pPr>
          </w:p>
        </w:tc>
        <w:tc>
          <w:tcPr>
            <w:tcW w:w="16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44,608</w:t>
            </w:r>
          </w:p>
        </w:tc>
        <w:tc>
          <w:tcPr>
            <w:tcW w:w="100" w:type="dxa"/>
            <w:vAlign w:val="bottom"/>
          </w:tcPr>
          <w:p>
            <w:pPr>
              <w:spacing w:after="0"/>
              <w:rPr>
                <w:sz w:val="20"/>
                <w:szCs w:val="20"/>
                <w:color w:val="auto"/>
              </w:rPr>
            </w:pPr>
          </w:p>
        </w:tc>
        <w:tc>
          <w:tcPr>
            <w:tcW w:w="16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32,840</w:t>
            </w:r>
          </w:p>
        </w:tc>
        <w:tc>
          <w:tcPr>
            <w:tcW w:w="0" w:type="dxa"/>
            <w:vAlign w:val="bottom"/>
          </w:tcPr>
          <w:p>
            <w:pPr>
              <w:spacing w:after="0"/>
              <w:rPr>
                <w:sz w:val="1"/>
                <w:szCs w:val="1"/>
                <w:color w:val="auto"/>
              </w:rPr>
            </w:pPr>
          </w:p>
        </w:tc>
      </w:tr>
      <w:tr>
        <w:trPr>
          <w:trHeight w:val="22"/>
        </w:trPr>
        <w:tc>
          <w:tcPr>
            <w:tcW w:w="4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Gross Proft Margin</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69.7 %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66.1 %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70.6 %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62.8 %</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Gross Margin Adjustments: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Amortzaton of the inventory fair value adjustment</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320"/>
              <w:spacing w:after="0" w:line="234" w:lineRule="exact"/>
              <w:rPr>
                <w:sz w:val="20"/>
                <w:szCs w:val="20"/>
                <w:color w:val="auto"/>
              </w:rPr>
            </w:pPr>
            <w:r>
              <w:rPr>
                <w:rFonts w:ascii="Calibri" w:cs="Calibri" w:eastAsia="Calibri" w:hAnsi="Calibri"/>
                <w:sz w:val="20"/>
                <w:szCs w:val="20"/>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320"/>
              <w:spacing w:after="0" w:line="234" w:lineRule="exact"/>
              <w:rPr>
                <w:sz w:val="20"/>
                <w:szCs w:val="20"/>
                <w:color w:val="auto"/>
              </w:rPr>
            </w:pPr>
            <w:r>
              <w:rPr>
                <w:rFonts w:ascii="Calibri" w:cs="Calibri" w:eastAsia="Calibri" w:hAnsi="Calibri"/>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320"/>
              <w:spacing w:after="0" w:line="234" w:lineRule="exact"/>
              <w:rPr>
                <w:sz w:val="20"/>
                <w:szCs w:val="20"/>
                <w:color w:val="auto"/>
              </w:rPr>
            </w:pPr>
            <w:r>
              <w:rPr>
                <w:rFonts w:ascii="Calibri" w:cs="Calibri" w:eastAsia="Calibri" w:hAnsi="Calibri"/>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1,691</w:t>
            </w:r>
          </w:p>
        </w:tc>
        <w:tc>
          <w:tcPr>
            <w:tcW w:w="0" w:type="dxa"/>
            <w:vAlign w:val="bottom"/>
          </w:tcPr>
          <w:p>
            <w:pPr>
              <w:spacing w:after="0"/>
              <w:rPr>
                <w:sz w:val="1"/>
                <w:szCs w:val="1"/>
                <w:color w:val="auto"/>
              </w:rPr>
            </w:pPr>
          </w:p>
        </w:tc>
      </w:tr>
      <w:tr>
        <w:trPr>
          <w:trHeight w:val="228"/>
        </w:trPr>
        <w:tc>
          <w:tcPr>
            <w:tcW w:w="4700" w:type="dxa"/>
            <w:vAlign w:val="bottom"/>
            <w:gridSpan w:val="2"/>
          </w:tcPr>
          <w:p>
            <w:pPr>
              <w:ind w:left="20"/>
              <w:spacing w:after="0" w:line="214" w:lineRule="exact"/>
              <w:rPr>
                <w:sz w:val="20"/>
                <w:szCs w:val="20"/>
                <w:color w:val="auto"/>
              </w:rPr>
            </w:pPr>
            <w:r>
              <w:rPr>
                <w:rFonts w:ascii="Calibri" w:cs="Calibri" w:eastAsia="Calibri" w:hAnsi="Calibri"/>
                <w:sz w:val="20"/>
                <w:szCs w:val="20"/>
                <w:color w:val="auto"/>
              </w:rPr>
              <w:t>Adjusted Gross Proft</w:t>
            </w:r>
          </w:p>
        </w:tc>
        <w:tc>
          <w:tcPr>
            <w:tcW w:w="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40" w:type="dxa"/>
            <w:vAlign w:val="bottom"/>
            <w:tcBorders>
              <w:top w:val="single" w:sz="8" w:color="auto"/>
            </w:tcBorders>
          </w:tcPr>
          <w:p>
            <w:pPr>
              <w:jc w:val="right"/>
              <w:ind w:right="122"/>
              <w:spacing w:after="0" w:line="228" w:lineRule="exact"/>
              <w:rPr>
                <w:sz w:val="20"/>
                <w:szCs w:val="20"/>
                <w:color w:val="auto"/>
              </w:rPr>
            </w:pPr>
            <w:r>
              <w:rPr>
                <w:rFonts w:ascii="Calibri" w:cs="Calibri" w:eastAsia="Calibri" w:hAnsi="Calibri"/>
                <w:sz w:val="20"/>
                <w:szCs w:val="20"/>
                <w:color w:val="auto"/>
              </w:rPr>
              <w:t>20,011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40" w:type="dxa"/>
            <w:vAlign w:val="bottom"/>
            <w:tcBorders>
              <w:top w:val="single" w:sz="8" w:color="auto"/>
            </w:tcBorders>
          </w:tcPr>
          <w:p>
            <w:pPr>
              <w:jc w:val="right"/>
              <w:ind w:right="122"/>
              <w:spacing w:after="0" w:line="228" w:lineRule="exact"/>
              <w:rPr>
                <w:sz w:val="20"/>
                <w:szCs w:val="20"/>
                <w:color w:val="auto"/>
              </w:rPr>
            </w:pPr>
            <w:r>
              <w:rPr>
                <w:rFonts w:ascii="Calibri" w:cs="Calibri" w:eastAsia="Calibri" w:hAnsi="Calibri"/>
                <w:sz w:val="20"/>
                <w:szCs w:val="20"/>
                <w:color w:val="auto"/>
              </w:rPr>
              <w:t>15,813</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top w:val="single" w:sz="8" w:color="auto"/>
            </w:tcBorders>
          </w:tcPr>
          <w:p>
            <w:pPr>
              <w:jc w:val="right"/>
              <w:ind w:right="121"/>
              <w:spacing w:after="0" w:line="228" w:lineRule="exact"/>
              <w:rPr>
                <w:sz w:val="20"/>
                <w:szCs w:val="20"/>
                <w:color w:val="auto"/>
              </w:rPr>
            </w:pPr>
            <w:r>
              <w:rPr>
                <w:rFonts w:ascii="Calibri" w:cs="Calibri" w:eastAsia="Calibri" w:hAnsi="Calibri"/>
                <w:sz w:val="20"/>
                <w:szCs w:val="20"/>
                <w:color w:val="auto"/>
              </w:rPr>
              <w:t>44,608</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top w:val="single" w:sz="8" w:color="auto"/>
            </w:tcBorders>
          </w:tcPr>
          <w:p>
            <w:pPr>
              <w:jc w:val="right"/>
              <w:ind w:right="121"/>
              <w:spacing w:after="0" w:line="228" w:lineRule="exact"/>
              <w:rPr>
                <w:sz w:val="20"/>
                <w:szCs w:val="20"/>
                <w:color w:val="auto"/>
              </w:rPr>
            </w:pPr>
            <w:r>
              <w:rPr>
                <w:rFonts w:ascii="Calibri" w:cs="Calibri" w:eastAsia="Calibri" w:hAnsi="Calibri"/>
                <w:sz w:val="20"/>
                <w:szCs w:val="20"/>
                <w:color w:val="auto"/>
              </w:rPr>
              <w:t>34,531</w:t>
            </w:r>
          </w:p>
        </w:tc>
        <w:tc>
          <w:tcPr>
            <w:tcW w:w="0" w:type="dxa"/>
            <w:vAlign w:val="bottom"/>
          </w:tcPr>
          <w:p>
            <w:pPr>
              <w:spacing w:after="0"/>
              <w:rPr>
                <w:sz w:val="1"/>
                <w:szCs w:val="1"/>
                <w:color w:val="auto"/>
              </w:rPr>
            </w:pPr>
          </w:p>
        </w:tc>
      </w:tr>
      <w:tr>
        <w:trPr>
          <w:trHeight w:val="22"/>
        </w:trPr>
        <w:tc>
          <w:tcPr>
            <w:tcW w:w="4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gridSpan w:val="2"/>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Adjusted Gross Margin %</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69.7 %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66.1 %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70.6 %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66.0 %</w:t>
            </w:r>
          </w:p>
        </w:tc>
        <w:tc>
          <w:tcPr>
            <w:tcW w:w="0" w:type="dxa"/>
            <w:vAlign w:val="bottom"/>
          </w:tcPr>
          <w:p>
            <w:pPr>
              <w:spacing w:after="0"/>
              <w:rPr>
                <w:sz w:val="1"/>
                <w:szCs w:val="1"/>
                <w:color w:val="auto"/>
              </w:rPr>
            </w:pPr>
          </w:p>
        </w:tc>
      </w:tr>
      <w:tr>
        <w:trPr>
          <w:trHeight w:val="22"/>
        </w:trPr>
        <w:tc>
          <w:tcPr>
            <w:tcW w:w="4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40"/>
          </w:cols>
          <w:pgMar w:left="320" w:top="911" w:right="339" w:bottom="1440" w:gutter="0" w:footer="0" w:header="0"/>
        </w:sectPr>
      </w:pPr>
    </w:p>
    <w:bookmarkStart w:id="14" w:name="page15"/>
    <w:bookmarkEnd w:id="14"/>
    <w:p>
      <w:pPr>
        <w:spacing w:after="0"/>
        <w:rPr>
          <w:sz w:val="20"/>
          <w:szCs w:val="20"/>
          <w:color w:val="auto"/>
        </w:rPr>
      </w:pPr>
      <w:r>
        <w:rPr>
          <w:rFonts w:ascii="Calibri" w:cs="Calibri" w:eastAsia="Calibri" w:hAnsi="Calibri"/>
          <w:sz w:val="22"/>
          <w:szCs w:val="22"/>
          <w:b w:val="1"/>
          <w:bCs w:val="1"/>
          <w:u w:val="single" w:color="auto"/>
          <w:color w:val="auto"/>
        </w:rPr>
        <w:t>Adjusted EBITDA Margin by Segment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180" w:type="dxa"/>
            <w:vAlign w:val="bottom"/>
            <w:tcBorders>
              <w:top w:val="single" w:sz="8" w:color="auto"/>
            </w:tcBorders>
            <w:gridSpan w:val="8"/>
          </w:tcPr>
          <w:p>
            <w:pPr>
              <w:jc w:val="center"/>
              <w:ind w:right="240"/>
              <w:spacing w:after="0"/>
              <w:rPr>
                <w:sz w:val="20"/>
                <w:szCs w:val="20"/>
                <w:color w:val="auto"/>
              </w:rPr>
            </w:pPr>
            <w:r>
              <w:rPr>
                <w:rFonts w:ascii="Calibri" w:cs="Calibri" w:eastAsia="Calibri" w:hAnsi="Calibri"/>
                <w:sz w:val="20"/>
                <w:szCs w:val="20"/>
                <w:b w:val="1"/>
                <w:bCs w:val="1"/>
                <w:color w:val="auto"/>
              </w:rPr>
              <w:t>Obagi Medical</w:t>
            </w: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r>
      <w:tr>
        <w:trPr>
          <w:trHeight w:val="22"/>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58"/>
        </w:trPr>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ind w:left="40"/>
              <w:spacing w:after="0" w:line="158" w:lineRule="exact"/>
              <w:rPr>
                <w:sz w:val="20"/>
                <w:szCs w:val="20"/>
                <w:color w:val="auto"/>
              </w:rPr>
            </w:pPr>
            <w:r>
              <w:rPr>
                <w:rFonts w:ascii="Calibri" w:cs="Calibri" w:eastAsia="Calibri" w:hAnsi="Calibri"/>
                <w:sz w:val="16"/>
                <w:szCs w:val="16"/>
                <w:b w:val="1"/>
                <w:bCs w:val="1"/>
                <w:color w:val="auto"/>
              </w:rPr>
              <w:t>Three Months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ind w:left="40"/>
              <w:spacing w:after="0" w:line="158" w:lineRule="exact"/>
              <w:rPr>
                <w:sz w:val="20"/>
                <w:szCs w:val="20"/>
                <w:color w:val="auto"/>
              </w:rPr>
            </w:pPr>
            <w:r>
              <w:rPr>
                <w:rFonts w:ascii="Calibri" w:cs="Calibri" w:eastAsia="Calibri" w:hAnsi="Calibri"/>
                <w:sz w:val="16"/>
                <w:szCs w:val="16"/>
                <w:b w:val="1"/>
                <w:bCs w:val="1"/>
                <w:color w:val="auto"/>
              </w:rPr>
              <w:t>Three Months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03"/>
        </w:trPr>
        <w:tc>
          <w:tcPr>
            <w:tcW w:w="4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240"/>
              <w:spacing w:after="0" w:line="203" w:lineRule="exact"/>
              <w:rPr>
                <w:sz w:val="20"/>
                <w:szCs w:val="20"/>
                <w:color w:val="auto"/>
              </w:rPr>
            </w:pPr>
            <w:r>
              <w:rPr>
                <w:rFonts w:ascii="Calibri" w:cs="Calibri" w:eastAsia="Calibri" w:hAnsi="Calibri"/>
                <w:sz w:val="20"/>
                <w:szCs w:val="20"/>
                <w:b w:val="1"/>
                <w:bCs w:val="1"/>
                <w:color w:val="auto"/>
              </w:rPr>
              <w:t>Ended 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240"/>
              <w:spacing w:after="0" w:line="203" w:lineRule="exact"/>
              <w:rPr>
                <w:sz w:val="20"/>
                <w:szCs w:val="20"/>
                <w:color w:val="auto"/>
              </w:rPr>
            </w:pPr>
            <w:r>
              <w:rPr>
                <w:rFonts w:ascii="Calibri" w:cs="Calibri" w:eastAsia="Calibri" w:hAnsi="Calibri"/>
                <w:sz w:val="20"/>
                <w:szCs w:val="20"/>
                <w:b w:val="1"/>
                <w:bCs w:val="1"/>
                <w:color w:val="auto"/>
              </w:rPr>
              <w:t>Ended June 30,</w:t>
            </w:r>
          </w:p>
        </w:tc>
        <w:tc>
          <w:tcPr>
            <w:tcW w:w="40" w:type="dxa"/>
            <w:vAlign w:val="bottom"/>
          </w:tcPr>
          <w:p>
            <w:pPr>
              <w:spacing w:after="0"/>
              <w:rPr>
                <w:sz w:val="17"/>
                <w:szCs w:val="17"/>
                <w:color w:val="auto"/>
              </w:rPr>
            </w:pPr>
          </w:p>
        </w:tc>
        <w:tc>
          <w:tcPr>
            <w:tcW w:w="1640" w:type="dxa"/>
            <w:vAlign w:val="bottom"/>
            <w:gridSpan w:val="4"/>
          </w:tcPr>
          <w:p>
            <w:pPr>
              <w:spacing w:after="0" w:line="203" w:lineRule="exact"/>
              <w:rPr>
                <w:sz w:val="20"/>
                <w:szCs w:val="20"/>
                <w:color w:val="auto"/>
              </w:rPr>
            </w:pPr>
            <w:r>
              <w:rPr>
                <w:rFonts w:ascii="Calibri" w:cs="Calibri" w:eastAsia="Calibri" w:hAnsi="Calibri"/>
                <w:sz w:val="20"/>
                <w:szCs w:val="20"/>
                <w:b w:val="1"/>
                <w:bCs w:val="1"/>
                <w:color w:val="auto"/>
              </w:rPr>
              <w:t>Six months ended</w:t>
            </w:r>
          </w:p>
        </w:tc>
        <w:tc>
          <w:tcPr>
            <w:tcW w:w="20" w:type="dxa"/>
            <w:vAlign w:val="bottom"/>
          </w:tcPr>
          <w:p>
            <w:pPr>
              <w:spacing w:after="0"/>
              <w:rPr>
                <w:sz w:val="17"/>
                <w:szCs w:val="17"/>
                <w:color w:val="auto"/>
              </w:rPr>
            </w:pPr>
          </w:p>
        </w:tc>
        <w:tc>
          <w:tcPr>
            <w:tcW w:w="1560" w:type="dxa"/>
            <w:vAlign w:val="bottom"/>
            <w:gridSpan w:val="2"/>
          </w:tcPr>
          <w:p>
            <w:pPr>
              <w:ind w:left="20"/>
              <w:spacing w:after="0" w:line="203" w:lineRule="exact"/>
              <w:rPr>
                <w:sz w:val="20"/>
                <w:szCs w:val="20"/>
                <w:color w:val="auto"/>
              </w:rPr>
            </w:pPr>
            <w:r>
              <w:rPr>
                <w:rFonts w:ascii="Calibri" w:cs="Calibri" w:eastAsia="Calibri" w:hAnsi="Calibri"/>
                <w:sz w:val="20"/>
                <w:szCs w:val="20"/>
                <w:b w:val="1"/>
                <w:bCs w:val="1"/>
                <w:color w:val="auto"/>
              </w:rPr>
              <w:t>Six months ended</w:t>
            </w:r>
          </w:p>
        </w:tc>
      </w:tr>
      <w:tr>
        <w:trPr>
          <w:trHeight w:val="253"/>
        </w:trPr>
        <w:tc>
          <w:tcPr>
            <w:tcW w:w="4660" w:type="dxa"/>
            <w:vAlign w:val="bottom"/>
            <w:gridSpan w:val="3"/>
          </w:tcPr>
          <w:p>
            <w:pPr>
              <w:ind w:left="20"/>
              <w:spacing w:after="0"/>
              <w:rPr>
                <w:sz w:val="20"/>
                <w:szCs w:val="20"/>
                <w:color w:val="auto"/>
              </w:rPr>
            </w:pPr>
            <w:r>
              <w:rPr>
                <w:rFonts w:ascii="Calibri" w:cs="Calibri" w:eastAsia="Calibri" w:hAnsi="Calibri"/>
                <w:sz w:val="16"/>
                <w:szCs w:val="16"/>
                <w:i w:val="1"/>
                <w:iCs w:val="1"/>
                <w:color w:val="auto"/>
              </w:rPr>
              <w:t>(In thousands, except for percentages)</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center"/>
              <w:ind w:right="62"/>
              <w:spacing w:after="0" w:line="234" w:lineRule="exact"/>
              <w:rPr>
                <w:sz w:val="20"/>
                <w:szCs w:val="20"/>
                <w:color w:val="auto"/>
              </w:rPr>
            </w:pPr>
            <w:r>
              <w:rPr>
                <w:rFonts w:ascii="Calibri" w:cs="Calibri" w:eastAsia="Calibri" w:hAnsi="Calibri"/>
                <w:sz w:val="20"/>
                <w:szCs w:val="20"/>
                <w:b w:val="1"/>
                <w:bCs w:val="1"/>
                <w:color w:val="auto"/>
              </w:rPr>
              <w:t>2024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center"/>
              <w:ind w:right="62"/>
              <w:spacing w:after="0" w:line="234" w:lineRule="exact"/>
              <w:rPr>
                <w:sz w:val="20"/>
                <w:szCs w:val="20"/>
                <w:color w:val="auto"/>
              </w:rPr>
            </w:pPr>
            <w:r>
              <w:rPr>
                <w:rFonts w:ascii="Calibri" w:cs="Calibri" w:eastAsia="Calibri" w:hAnsi="Calibri"/>
                <w:sz w:val="20"/>
                <w:szCs w:val="20"/>
                <w:b w:val="1"/>
                <w:bCs w:val="1"/>
                <w:color w:val="auto"/>
              </w:rPr>
              <w:t>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3"/>
          </w:tcPr>
          <w:p>
            <w:pPr>
              <w:ind w:left="40"/>
              <w:spacing w:after="0" w:line="234" w:lineRule="exact"/>
              <w:rPr>
                <w:sz w:val="20"/>
                <w:szCs w:val="20"/>
                <w:color w:val="auto"/>
              </w:rPr>
            </w:pPr>
            <w:r>
              <w:rPr>
                <w:rFonts w:ascii="Calibri" w:cs="Calibri" w:eastAsia="Calibri" w:hAnsi="Calibri"/>
                <w:sz w:val="20"/>
                <w:szCs w:val="20"/>
                <w:b w:val="1"/>
                <w:bCs w:val="1"/>
                <w:color w:val="auto"/>
              </w:rPr>
              <w:t>June 30, 2024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b w:val="1"/>
                <w:bCs w:val="1"/>
                <w:color w:val="auto"/>
              </w:rPr>
              <w:t>June 30, 2023</w:t>
            </w:r>
          </w:p>
        </w:tc>
      </w:tr>
      <w:tr>
        <w:trPr>
          <w:trHeight w:val="28"/>
        </w:trPr>
        <w:tc>
          <w:tcPr>
            <w:tcW w:w="4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58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b w:val="1"/>
                <w:bCs w:val="1"/>
                <w:color w:val="auto"/>
              </w:rPr>
              <w:t>Net Loss</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20" w:type="dxa"/>
            <w:vAlign w:val="bottom"/>
            <w:tcBorders>
              <w:bottom w:val="single" w:sz="8" w:color="CCEEFF"/>
            </w:tcBorders>
            <w:shd w:val="clear" w:color="auto" w:fill="CCEEFF"/>
          </w:tcPr>
          <w:p>
            <w:pPr>
              <w:jc w:val="right"/>
              <w:ind w:right="82"/>
              <w:spacing w:after="0" w:line="228" w:lineRule="exact"/>
              <w:rPr>
                <w:sz w:val="20"/>
                <w:szCs w:val="20"/>
                <w:color w:val="auto"/>
              </w:rPr>
            </w:pPr>
            <w:r>
              <w:rPr>
                <w:rFonts w:ascii="Calibri" w:cs="Calibri" w:eastAsia="Calibri" w:hAnsi="Calibri"/>
                <w:sz w:val="20"/>
                <w:szCs w:val="20"/>
                <w:color w:val="auto"/>
              </w:rPr>
              <w:t>(5,674)</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20" w:type="dxa"/>
            <w:vAlign w:val="bottom"/>
            <w:tcBorders>
              <w:bottom w:val="single" w:sz="8" w:color="CCEEFF"/>
            </w:tcBorders>
            <w:shd w:val="clear" w:color="auto" w:fill="CCEEFF"/>
          </w:tcPr>
          <w:p>
            <w:pPr>
              <w:jc w:val="right"/>
              <w:ind w:right="82"/>
              <w:spacing w:after="0" w:line="228" w:lineRule="exact"/>
              <w:rPr>
                <w:sz w:val="20"/>
                <w:szCs w:val="20"/>
                <w:color w:val="auto"/>
              </w:rPr>
            </w:pPr>
            <w:r>
              <w:rPr>
                <w:rFonts w:ascii="Calibri" w:cs="Calibri" w:eastAsia="Calibri" w:hAnsi="Calibri"/>
                <w:sz w:val="20"/>
                <w:szCs w:val="20"/>
                <w:color w:val="auto"/>
              </w:rPr>
              <w:t>(8,326)</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bottom w:val="single" w:sz="8" w:color="CCEEFF"/>
            </w:tcBorders>
            <w:shd w:val="clear" w:color="auto" w:fill="CCEEFF"/>
          </w:tcPr>
          <w:p>
            <w:pPr>
              <w:jc w:val="right"/>
              <w:ind w:right="81"/>
              <w:spacing w:after="0" w:line="228" w:lineRule="exact"/>
              <w:rPr>
                <w:sz w:val="20"/>
                <w:szCs w:val="20"/>
                <w:color w:val="auto"/>
              </w:rPr>
            </w:pPr>
            <w:r>
              <w:rPr>
                <w:rFonts w:ascii="Calibri" w:cs="Calibri" w:eastAsia="Calibri" w:hAnsi="Calibri"/>
                <w:sz w:val="20"/>
                <w:szCs w:val="20"/>
                <w:color w:val="auto"/>
              </w:rPr>
              <w:t>(11,435)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bottom w:val="single" w:sz="8" w:color="CCEEFF"/>
            </w:tcBorders>
            <w:shd w:val="clear" w:color="auto" w:fill="CCEEFF"/>
          </w:tcPr>
          <w:p>
            <w:pPr>
              <w:jc w:val="right"/>
              <w:ind w:right="81"/>
              <w:spacing w:after="0" w:line="228" w:lineRule="exact"/>
              <w:rPr>
                <w:sz w:val="20"/>
                <w:szCs w:val="20"/>
                <w:color w:val="auto"/>
              </w:rPr>
            </w:pPr>
            <w:r>
              <w:rPr>
                <w:rFonts w:ascii="Calibri" w:cs="Calibri" w:eastAsia="Calibri" w:hAnsi="Calibri"/>
                <w:sz w:val="20"/>
                <w:szCs w:val="20"/>
                <w:color w:val="auto"/>
              </w:rPr>
              <w:t>(12,237)</w:t>
            </w:r>
          </w:p>
        </w:tc>
      </w:tr>
      <w:tr>
        <w:trPr>
          <w:trHeight w:val="234"/>
        </w:trPr>
        <w:tc>
          <w:tcPr>
            <w:tcW w:w="4660" w:type="dxa"/>
            <w:vAlign w:val="bottom"/>
            <w:gridSpan w:val="3"/>
          </w:tcPr>
          <w:p>
            <w:pPr>
              <w:ind w:left="20"/>
              <w:spacing w:after="0" w:line="234" w:lineRule="exact"/>
              <w:rPr>
                <w:sz w:val="20"/>
                <w:szCs w:val="20"/>
                <w:color w:val="auto"/>
              </w:rPr>
            </w:pPr>
            <w:r>
              <w:rPr>
                <w:rFonts w:ascii="Calibri" w:cs="Calibri" w:eastAsia="Calibri" w:hAnsi="Calibri"/>
                <w:sz w:val="20"/>
                <w:szCs w:val="20"/>
                <w:color w:val="auto"/>
              </w:rPr>
              <w:t>Adjusted For: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gridSpan w:val="3"/>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Depreciaton and amortzaton</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42"/>
              <w:spacing w:after="0" w:line="234" w:lineRule="exact"/>
              <w:rPr>
                <w:sz w:val="20"/>
                <w:szCs w:val="20"/>
                <w:color w:val="auto"/>
              </w:rPr>
            </w:pPr>
            <w:r>
              <w:rPr>
                <w:rFonts w:ascii="Calibri" w:cs="Calibri" w:eastAsia="Calibri" w:hAnsi="Calibri"/>
                <w:sz w:val="20"/>
                <w:szCs w:val="20"/>
                <w:color w:val="auto"/>
              </w:rPr>
              <w:t>10,395</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42"/>
              <w:spacing w:after="0" w:line="234" w:lineRule="exact"/>
              <w:rPr>
                <w:sz w:val="20"/>
                <w:szCs w:val="20"/>
                <w:color w:val="auto"/>
              </w:rPr>
            </w:pPr>
            <w:r>
              <w:rPr>
                <w:rFonts w:ascii="Calibri" w:cs="Calibri" w:eastAsia="Calibri" w:hAnsi="Calibri"/>
                <w:sz w:val="20"/>
                <w:szCs w:val="20"/>
                <w:color w:val="auto"/>
              </w:rPr>
              <w:t>10,253</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20,790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20,725</w:t>
            </w:r>
          </w:p>
        </w:tc>
      </w:tr>
      <w:tr>
        <w:trPr>
          <w:trHeight w:val="234"/>
        </w:trPr>
        <w:tc>
          <w:tcPr>
            <w:tcW w:w="4660" w:type="dxa"/>
            <w:vAlign w:val="bottom"/>
            <w:gridSpan w:val="3"/>
          </w:tcPr>
          <w:p>
            <w:pPr>
              <w:ind w:left="100"/>
              <w:spacing w:after="0" w:line="234" w:lineRule="exact"/>
              <w:rPr>
                <w:sz w:val="20"/>
                <w:szCs w:val="20"/>
                <w:color w:val="auto"/>
              </w:rPr>
            </w:pPr>
            <w:r>
              <w:rPr>
                <w:rFonts w:ascii="Calibri" w:cs="Calibri" w:eastAsia="Calibri" w:hAnsi="Calibri"/>
                <w:sz w:val="20"/>
                <w:szCs w:val="20"/>
                <w:color w:val="auto"/>
              </w:rPr>
              <w:t>Interest expense, net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42"/>
              <w:spacing w:after="0" w:line="234" w:lineRule="exact"/>
              <w:rPr>
                <w:sz w:val="20"/>
                <w:szCs w:val="20"/>
                <w:color w:val="auto"/>
              </w:rPr>
            </w:pPr>
            <w:r>
              <w:rPr>
                <w:rFonts w:ascii="Calibri" w:cs="Calibri" w:eastAsia="Calibri" w:hAnsi="Calibri"/>
                <w:sz w:val="20"/>
                <w:szCs w:val="20"/>
                <w:color w:val="auto"/>
              </w:rPr>
              <w:t>3,135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42"/>
              <w:spacing w:after="0" w:line="234" w:lineRule="exact"/>
              <w:rPr>
                <w:sz w:val="20"/>
                <w:szCs w:val="20"/>
                <w:color w:val="auto"/>
              </w:rPr>
            </w:pPr>
            <w:r>
              <w:rPr>
                <w:rFonts w:ascii="Calibri" w:cs="Calibri" w:eastAsia="Calibri" w:hAnsi="Calibri"/>
                <w:sz w:val="20"/>
                <w:szCs w:val="20"/>
                <w:color w:val="auto"/>
              </w:rPr>
              <w:t>3,116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6,322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5,978</w:t>
            </w:r>
          </w:p>
        </w:tc>
      </w:tr>
      <w:tr>
        <w:trPr>
          <w:trHeight w:val="22"/>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6"/>
        </w:trPr>
        <w:tc>
          <w:tcPr>
            <w:tcW w:w="4660" w:type="dxa"/>
            <w:vAlign w:val="bottom"/>
            <w:tcBorders>
              <w:bottom w:val="single" w:sz="8" w:color="CCEEFF"/>
            </w:tcBorders>
            <w:gridSpan w:val="3"/>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Income tax beneft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82"/>
              <w:spacing w:after="0" w:line="234" w:lineRule="exact"/>
              <w:rPr>
                <w:sz w:val="20"/>
                <w:szCs w:val="20"/>
                <w:color w:val="auto"/>
              </w:rPr>
            </w:pPr>
            <w:r>
              <w:rPr>
                <w:rFonts w:ascii="Calibri" w:cs="Calibri" w:eastAsia="Calibri" w:hAnsi="Calibri"/>
                <w:sz w:val="20"/>
                <w:szCs w:val="20"/>
                <w:color w:val="auto"/>
              </w:rPr>
              <w:t>(1,671)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82"/>
              <w:spacing w:after="0" w:line="234" w:lineRule="exact"/>
              <w:rPr>
                <w:sz w:val="20"/>
                <w:szCs w:val="20"/>
                <w:color w:val="auto"/>
              </w:rPr>
            </w:pPr>
            <w:r>
              <w:rPr>
                <w:rFonts w:ascii="Calibri" w:cs="Calibri" w:eastAsia="Calibri" w:hAnsi="Calibri"/>
                <w:sz w:val="20"/>
                <w:szCs w:val="20"/>
                <w:color w:val="auto"/>
              </w:rPr>
              <w:t>(2,061)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81"/>
              <w:spacing w:after="0" w:line="234" w:lineRule="exact"/>
              <w:rPr>
                <w:sz w:val="20"/>
                <w:szCs w:val="20"/>
                <w:color w:val="auto"/>
              </w:rPr>
            </w:pPr>
            <w:r>
              <w:rPr>
                <w:rFonts w:ascii="Calibri" w:cs="Calibri" w:eastAsia="Calibri" w:hAnsi="Calibri"/>
                <w:sz w:val="20"/>
                <w:szCs w:val="20"/>
                <w:color w:val="auto"/>
              </w:rPr>
              <w:t>(2,357)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81"/>
              <w:spacing w:after="0" w:line="234" w:lineRule="exact"/>
              <w:rPr>
                <w:sz w:val="20"/>
                <w:szCs w:val="20"/>
                <w:color w:val="auto"/>
              </w:rPr>
            </w:pPr>
            <w:r>
              <w:rPr>
                <w:rFonts w:ascii="Calibri" w:cs="Calibri" w:eastAsia="Calibri" w:hAnsi="Calibri"/>
                <w:sz w:val="20"/>
                <w:szCs w:val="20"/>
                <w:color w:val="auto"/>
              </w:rPr>
              <w:t>(4,510)</w:t>
            </w:r>
          </w:p>
        </w:tc>
      </w:tr>
      <w:tr>
        <w:trPr>
          <w:trHeight w:val="234"/>
        </w:trPr>
        <w:tc>
          <w:tcPr>
            <w:tcW w:w="4660" w:type="dxa"/>
            <w:vAlign w:val="bottom"/>
            <w:gridSpan w:val="3"/>
          </w:tcPr>
          <w:p>
            <w:pPr>
              <w:ind w:left="100"/>
              <w:spacing w:after="0" w:line="234" w:lineRule="exact"/>
              <w:rPr>
                <w:sz w:val="20"/>
                <w:szCs w:val="20"/>
                <w:color w:val="auto"/>
              </w:rPr>
            </w:pPr>
            <w:r>
              <w:rPr>
                <w:rFonts w:ascii="Calibri" w:cs="Calibri" w:eastAsia="Calibri" w:hAnsi="Calibri"/>
                <w:sz w:val="20"/>
                <w:szCs w:val="20"/>
                <w:color w:val="auto"/>
              </w:rPr>
              <w:t>Stock-based compensaton expense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82"/>
              <w:spacing w:after="0" w:line="234" w:lineRule="exact"/>
              <w:rPr>
                <w:sz w:val="20"/>
                <w:szCs w:val="20"/>
                <w:color w:val="auto"/>
              </w:rPr>
            </w:pPr>
            <w:r>
              <w:rPr>
                <w:rFonts w:ascii="Calibri" w:cs="Calibri" w:eastAsia="Calibri" w:hAnsi="Calibri"/>
                <w:sz w:val="20"/>
                <w:szCs w:val="20"/>
                <w:color w:val="auto"/>
              </w:rPr>
              <w:t>(204)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82"/>
              <w:spacing w:after="0" w:line="234" w:lineRule="exact"/>
              <w:rPr>
                <w:sz w:val="20"/>
                <w:szCs w:val="20"/>
                <w:color w:val="auto"/>
              </w:rPr>
            </w:pPr>
            <w:r>
              <w:rPr>
                <w:rFonts w:ascii="Calibri" w:cs="Calibri" w:eastAsia="Calibri" w:hAnsi="Calibri"/>
                <w:sz w:val="20"/>
                <w:szCs w:val="20"/>
                <w:color w:val="auto"/>
              </w:rPr>
              <w:t>(498)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81"/>
              <w:spacing w:after="0" w:line="234" w:lineRule="exact"/>
              <w:rPr>
                <w:sz w:val="20"/>
                <w:szCs w:val="20"/>
                <w:color w:val="auto"/>
              </w:rPr>
            </w:pPr>
            <w:r>
              <w:rPr>
                <w:rFonts w:ascii="Calibri" w:cs="Calibri" w:eastAsia="Calibri" w:hAnsi="Calibri"/>
                <w:sz w:val="20"/>
                <w:szCs w:val="20"/>
                <w:color w:val="auto"/>
              </w:rPr>
              <w:t>(985)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990</w:t>
            </w:r>
          </w:p>
        </w:tc>
      </w:tr>
      <w:tr>
        <w:trPr>
          <w:trHeight w:val="22"/>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gridSpan w:val="3"/>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Legal and advisory non-recurring costs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42"/>
              <w:spacing w:after="0" w:line="234" w:lineRule="exact"/>
              <w:rPr>
                <w:sz w:val="20"/>
                <w:szCs w:val="20"/>
                <w:color w:val="auto"/>
              </w:rPr>
            </w:pPr>
            <w:r>
              <w:rPr>
                <w:rFonts w:ascii="Calibri" w:cs="Calibri" w:eastAsia="Calibri" w:hAnsi="Calibri"/>
                <w:sz w:val="20"/>
                <w:szCs w:val="20"/>
                <w:color w:val="auto"/>
              </w:rPr>
              <w:t>289</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82"/>
              <w:spacing w:after="0" w:line="234" w:lineRule="exact"/>
              <w:rPr>
                <w:sz w:val="20"/>
                <w:szCs w:val="20"/>
                <w:color w:val="auto"/>
              </w:rPr>
            </w:pPr>
            <w:r>
              <w:rPr>
                <w:rFonts w:ascii="Calibri" w:cs="Calibri" w:eastAsia="Calibri" w:hAnsi="Calibri"/>
                <w:sz w:val="20"/>
                <w:szCs w:val="20"/>
                <w:color w:val="auto"/>
              </w:rPr>
              <w:t>(38)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755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w:t>
            </w:r>
          </w:p>
        </w:tc>
      </w:tr>
      <w:tr>
        <w:trPr>
          <w:trHeight w:val="234"/>
        </w:trPr>
        <w:tc>
          <w:tcPr>
            <w:tcW w:w="4660" w:type="dxa"/>
            <w:vAlign w:val="bottom"/>
            <w:gridSpan w:val="3"/>
          </w:tcPr>
          <w:p>
            <w:pPr>
              <w:ind w:left="100"/>
              <w:spacing w:after="0" w:line="234" w:lineRule="exact"/>
              <w:rPr>
                <w:sz w:val="20"/>
                <w:szCs w:val="20"/>
                <w:color w:val="auto"/>
              </w:rPr>
            </w:pPr>
            <w:r>
              <w:rPr>
                <w:rFonts w:ascii="Calibri" w:cs="Calibri" w:eastAsia="Calibri" w:hAnsi="Calibri"/>
                <w:sz w:val="20"/>
                <w:szCs w:val="20"/>
                <w:color w:val="auto"/>
              </w:rPr>
              <w:t>Amortzaton of related party liability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82"/>
              <w:spacing w:after="0" w:line="234" w:lineRule="exact"/>
              <w:rPr>
                <w:sz w:val="20"/>
                <w:szCs w:val="20"/>
                <w:color w:val="auto"/>
              </w:rPr>
            </w:pPr>
            <w:r>
              <w:rPr>
                <w:rFonts w:ascii="Calibri" w:cs="Calibri" w:eastAsia="Calibri" w:hAnsi="Calibri"/>
                <w:sz w:val="20"/>
                <w:szCs w:val="20"/>
                <w:color w:val="auto"/>
              </w:rPr>
              <w:t>(461)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320"/>
              <w:spacing w:after="0" w:line="234" w:lineRule="exact"/>
              <w:rPr>
                <w:sz w:val="20"/>
                <w:szCs w:val="20"/>
                <w:color w:val="auto"/>
              </w:rPr>
            </w:pPr>
            <w:r>
              <w:rPr>
                <w:rFonts w:ascii="Calibri" w:cs="Calibri" w:eastAsia="Calibri" w:hAnsi="Calibri"/>
                <w:sz w:val="20"/>
                <w:szCs w:val="20"/>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81"/>
              <w:spacing w:after="0" w:line="234" w:lineRule="exact"/>
              <w:rPr>
                <w:sz w:val="20"/>
                <w:szCs w:val="20"/>
                <w:color w:val="auto"/>
              </w:rPr>
            </w:pPr>
            <w:r>
              <w:rPr>
                <w:rFonts w:ascii="Calibri" w:cs="Calibri" w:eastAsia="Calibri" w:hAnsi="Calibri"/>
                <w:sz w:val="20"/>
                <w:szCs w:val="20"/>
                <w:color w:val="auto"/>
              </w:rPr>
              <w:t>(778)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81"/>
              <w:spacing w:after="0" w:line="234" w:lineRule="exact"/>
              <w:rPr>
                <w:sz w:val="20"/>
                <w:szCs w:val="20"/>
                <w:color w:val="auto"/>
              </w:rPr>
            </w:pPr>
            <w:r>
              <w:rPr>
                <w:rFonts w:ascii="Calibri" w:cs="Calibri" w:eastAsia="Calibri" w:hAnsi="Calibri"/>
                <w:sz w:val="20"/>
                <w:szCs w:val="20"/>
                <w:color w:val="auto"/>
              </w:rPr>
              <w:t>(2,371)</w:t>
            </w:r>
          </w:p>
        </w:tc>
      </w:tr>
      <w:tr>
        <w:trPr>
          <w:trHeight w:val="22"/>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6"/>
        </w:trPr>
        <w:tc>
          <w:tcPr>
            <w:tcW w:w="4660" w:type="dxa"/>
            <w:vAlign w:val="bottom"/>
            <w:tcBorders>
              <w:bottom w:val="single" w:sz="8" w:color="CCEEFF"/>
            </w:tcBorders>
            <w:gridSpan w:val="3"/>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Other costs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42"/>
              <w:spacing w:after="0" w:line="234" w:lineRule="exact"/>
              <w:rPr>
                <w:sz w:val="20"/>
                <w:szCs w:val="20"/>
                <w:color w:val="auto"/>
              </w:rPr>
            </w:pPr>
            <w:r>
              <w:rPr>
                <w:rFonts w:ascii="Calibri" w:cs="Calibri" w:eastAsia="Calibri" w:hAnsi="Calibri"/>
                <w:sz w:val="20"/>
                <w:szCs w:val="20"/>
                <w:color w:val="auto"/>
              </w:rPr>
              <w:t>642</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42"/>
              <w:spacing w:after="0" w:line="234" w:lineRule="exact"/>
              <w:rPr>
                <w:sz w:val="20"/>
                <w:szCs w:val="20"/>
                <w:color w:val="auto"/>
              </w:rPr>
            </w:pPr>
            <w:r>
              <w:rPr>
                <w:rFonts w:ascii="Calibri" w:cs="Calibri" w:eastAsia="Calibri" w:hAnsi="Calibri"/>
                <w:sz w:val="20"/>
                <w:szCs w:val="20"/>
                <w:color w:val="auto"/>
              </w:rPr>
              <w:t>1,704</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882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1,070</w:t>
            </w:r>
          </w:p>
        </w:tc>
      </w:tr>
      <w:tr>
        <w:trPr>
          <w:trHeight w:val="228"/>
        </w:trPr>
        <w:tc>
          <w:tcPr>
            <w:tcW w:w="4660" w:type="dxa"/>
            <w:vAlign w:val="bottom"/>
            <w:gridSpan w:val="3"/>
          </w:tcPr>
          <w:p>
            <w:pPr>
              <w:ind w:left="20"/>
              <w:spacing w:after="0" w:line="214" w:lineRule="exact"/>
              <w:rPr>
                <w:sz w:val="20"/>
                <w:szCs w:val="20"/>
                <w:color w:val="auto"/>
              </w:rPr>
            </w:pPr>
            <w:r>
              <w:rPr>
                <w:rFonts w:ascii="Calibri" w:cs="Calibri" w:eastAsia="Calibri" w:hAnsi="Calibri"/>
                <w:sz w:val="20"/>
                <w:szCs w:val="20"/>
                <w:b w:val="1"/>
                <w:bCs w:val="1"/>
                <w:color w:val="auto"/>
              </w:rPr>
              <w:t>Adjusted EBITDA</w:t>
            </w:r>
          </w:p>
        </w:tc>
        <w:tc>
          <w:tcPr>
            <w:tcW w:w="16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20" w:type="dxa"/>
            <w:vAlign w:val="bottom"/>
            <w:tcBorders>
              <w:top w:val="single" w:sz="8" w:color="auto"/>
            </w:tcBorders>
          </w:tcPr>
          <w:p>
            <w:pPr>
              <w:jc w:val="right"/>
              <w:ind w:right="142"/>
              <w:spacing w:after="0" w:line="228" w:lineRule="exact"/>
              <w:rPr>
                <w:sz w:val="20"/>
                <w:szCs w:val="20"/>
                <w:color w:val="auto"/>
              </w:rPr>
            </w:pPr>
            <w:r>
              <w:rPr>
                <w:rFonts w:ascii="Calibri" w:cs="Calibri" w:eastAsia="Calibri" w:hAnsi="Calibri"/>
                <w:sz w:val="20"/>
                <w:szCs w:val="20"/>
                <w:color w:val="auto"/>
              </w:rPr>
              <w:t>6,451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20" w:type="dxa"/>
            <w:vAlign w:val="bottom"/>
            <w:tcBorders>
              <w:top w:val="single" w:sz="8" w:color="auto"/>
            </w:tcBorders>
          </w:tcPr>
          <w:p>
            <w:pPr>
              <w:jc w:val="right"/>
              <w:ind w:right="142"/>
              <w:spacing w:after="0" w:line="228" w:lineRule="exact"/>
              <w:rPr>
                <w:sz w:val="20"/>
                <w:szCs w:val="20"/>
                <w:color w:val="auto"/>
              </w:rPr>
            </w:pPr>
            <w:r>
              <w:rPr>
                <w:rFonts w:ascii="Calibri" w:cs="Calibri" w:eastAsia="Calibri" w:hAnsi="Calibri"/>
                <w:sz w:val="20"/>
                <w:szCs w:val="20"/>
                <w:color w:val="auto"/>
              </w:rPr>
              <w:t>4,150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gridSpan w:val="2"/>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top w:val="single" w:sz="8" w:color="auto"/>
            </w:tcBorders>
          </w:tcPr>
          <w:p>
            <w:pPr>
              <w:jc w:val="right"/>
              <w:ind w:right="121"/>
              <w:spacing w:after="0" w:line="228" w:lineRule="exact"/>
              <w:rPr>
                <w:sz w:val="20"/>
                <w:szCs w:val="20"/>
                <w:color w:val="auto"/>
              </w:rPr>
            </w:pPr>
            <w:r>
              <w:rPr>
                <w:rFonts w:ascii="Calibri" w:cs="Calibri" w:eastAsia="Calibri" w:hAnsi="Calibri"/>
                <w:sz w:val="20"/>
                <w:szCs w:val="20"/>
                <w:color w:val="auto"/>
              </w:rPr>
              <w:t>13,194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gridSpan w:val="2"/>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top w:val="single" w:sz="8" w:color="auto"/>
            </w:tcBorders>
          </w:tcPr>
          <w:p>
            <w:pPr>
              <w:jc w:val="right"/>
              <w:ind w:right="121"/>
              <w:spacing w:after="0" w:line="228" w:lineRule="exact"/>
              <w:rPr>
                <w:sz w:val="20"/>
                <w:szCs w:val="20"/>
                <w:color w:val="auto"/>
              </w:rPr>
            </w:pPr>
            <w:r>
              <w:rPr>
                <w:rFonts w:ascii="Calibri" w:cs="Calibri" w:eastAsia="Calibri" w:hAnsi="Calibri"/>
                <w:sz w:val="20"/>
                <w:szCs w:val="20"/>
                <w:color w:val="auto"/>
              </w:rPr>
              <w:t>9,645</w:t>
            </w:r>
          </w:p>
        </w:tc>
      </w:tr>
      <w:tr>
        <w:trPr>
          <w:trHeight w:val="22"/>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gridSpan w:val="3"/>
            <w:shd w:val="clear" w:color="auto" w:fill="CCEEFF"/>
          </w:tcPr>
          <w:p>
            <w:pPr>
              <w:ind w:left="20"/>
              <w:spacing w:after="0" w:line="234" w:lineRule="exact"/>
              <w:rPr>
                <w:sz w:val="20"/>
                <w:szCs w:val="20"/>
                <w:color w:val="auto"/>
              </w:rPr>
            </w:pPr>
            <w:r>
              <w:rPr>
                <w:rFonts w:ascii="Calibri" w:cs="Calibri" w:eastAsia="Calibri" w:hAnsi="Calibri"/>
                <w:sz w:val="20"/>
                <w:szCs w:val="20"/>
                <w:b w:val="1"/>
                <w:bCs w:val="1"/>
                <w:color w:val="auto"/>
              </w:rPr>
              <w:t>Net Revenue</w:t>
            </w:r>
          </w:p>
        </w:tc>
        <w:tc>
          <w:tcPr>
            <w:tcW w:w="160" w:type="dxa"/>
            <w:vAlign w:val="bottom"/>
            <w:tcBorders>
              <w:bottom w:val="single" w:sz="8" w:color="CCEEFF"/>
            </w:tcBorders>
            <w:gridSpan w:val="2"/>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420" w:type="dxa"/>
            <w:vAlign w:val="bottom"/>
            <w:tcBorders>
              <w:bottom w:val="single" w:sz="8" w:color="CCEEFF"/>
            </w:tcBorders>
            <w:shd w:val="clear" w:color="auto" w:fill="CCEEFF"/>
          </w:tcPr>
          <w:p>
            <w:pPr>
              <w:jc w:val="right"/>
              <w:ind w:right="142"/>
              <w:spacing w:after="0" w:line="234" w:lineRule="exact"/>
              <w:rPr>
                <w:sz w:val="20"/>
                <w:szCs w:val="20"/>
                <w:color w:val="auto"/>
              </w:rPr>
            </w:pPr>
            <w:r>
              <w:rPr>
                <w:rFonts w:ascii="Calibri" w:cs="Calibri" w:eastAsia="Calibri" w:hAnsi="Calibri"/>
                <w:sz w:val="20"/>
                <w:szCs w:val="20"/>
                <w:color w:val="auto"/>
              </w:rPr>
              <w:t>34,597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420" w:type="dxa"/>
            <w:vAlign w:val="bottom"/>
            <w:tcBorders>
              <w:bottom w:val="single" w:sz="8" w:color="CCEEFF"/>
            </w:tcBorders>
            <w:shd w:val="clear" w:color="auto" w:fill="CCEEFF"/>
          </w:tcPr>
          <w:p>
            <w:pPr>
              <w:jc w:val="right"/>
              <w:ind w:right="142"/>
              <w:spacing w:after="0" w:line="234" w:lineRule="exact"/>
              <w:rPr>
                <w:sz w:val="20"/>
                <w:szCs w:val="20"/>
                <w:color w:val="auto"/>
              </w:rPr>
            </w:pPr>
            <w:r>
              <w:rPr>
                <w:rFonts w:ascii="Calibri" w:cs="Calibri" w:eastAsia="Calibri" w:hAnsi="Calibri"/>
                <w:sz w:val="20"/>
                <w:szCs w:val="20"/>
                <w:color w:val="auto"/>
              </w:rPr>
              <w:t>25,464</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68,364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57,014</w:t>
            </w:r>
          </w:p>
        </w:tc>
      </w:tr>
      <w:tr>
        <w:trPr>
          <w:trHeight w:val="234"/>
        </w:trPr>
        <w:tc>
          <w:tcPr>
            <w:tcW w:w="4660" w:type="dxa"/>
            <w:vAlign w:val="bottom"/>
            <w:gridSpan w:val="3"/>
          </w:tcPr>
          <w:p>
            <w:pPr>
              <w:ind w:left="20"/>
              <w:spacing w:after="0" w:line="234" w:lineRule="exact"/>
              <w:rPr>
                <w:sz w:val="20"/>
                <w:szCs w:val="20"/>
                <w:color w:val="auto"/>
              </w:rPr>
            </w:pPr>
            <w:r>
              <w:rPr>
                <w:rFonts w:ascii="Calibri" w:cs="Calibri" w:eastAsia="Calibri" w:hAnsi="Calibri"/>
                <w:sz w:val="20"/>
                <w:szCs w:val="20"/>
                <w:b w:val="1"/>
                <w:bCs w:val="1"/>
                <w:color w:val="auto"/>
              </w:rPr>
              <w:t>Net Loss % of Net Revenue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line="234" w:lineRule="exact"/>
              <w:rPr>
                <w:sz w:val="20"/>
                <w:szCs w:val="20"/>
                <w:color w:val="auto"/>
              </w:rPr>
            </w:pPr>
            <w:r>
              <w:rPr>
                <w:rFonts w:ascii="Calibri" w:cs="Calibri" w:eastAsia="Calibri" w:hAnsi="Calibri"/>
                <w:sz w:val="20"/>
                <w:szCs w:val="20"/>
                <w:color w:val="auto"/>
              </w:rPr>
              <w:t>(16.4)%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line="234" w:lineRule="exact"/>
              <w:rPr>
                <w:sz w:val="20"/>
                <w:szCs w:val="20"/>
                <w:color w:val="auto"/>
              </w:rPr>
            </w:pPr>
            <w:r>
              <w:rPr>
                <w:rFonts w:ascii="Calibri" w:cs="Calibri" w:eastAsia="Calibri" w:hAnsi="Calibri"/>
                <w:sz w:val="20"/>
                <w:szCs w:val="20"/>
                <w:color w:val="auto"/>
              </w:rPr>
              <w:t>(32.7)%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line="234" w:lineRule="exact"/>
              <w:rPr>
                <w:sz w:val="20"/>
                <w:szCs w:val="20"/>
                <w:color w:val="auto"/>
              </w:rPr>
            </w:pPr>
            <w:r>
              <w:rPr>
                <w:rFonts w:ascii="Calibri" w:cs="Calibri" w:eastAsia="Calibri" w:hAnsi="Calibri"/>
                <w:sz w:val="20"/>
                <w:szCs w:val="20"/>
                <w:color w:val="auto"/>
              </w:rPr>
              <w:t>(16.7)%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line="234" w:lineRule="exact"/>
              <w:rPr>
                <w:sz w:val="20"/>
                <w:szCs w:val="20"/>
                <w:color w:val="auto"/>
              </w:rPr>
            </w:pPr>
            <w:r>
              <w:rPr>
                <w:rFonts w:ascii="Calibri" w:cs="Calibri" w:eastAsia="Calibri" w:hAnsi="Calibri"/>
                <w:sz w:val="20"/>
                <w:szCs w:val="20"/>
                <w:color w:val="auto"/>
              </w:rPr>
              <w:t>(21.5)%</w:t>
            </w:r>
          </w:p>
        </w:tc>
      </w:tr>
      <w:tr>
        <w:trPr>
          <w:trHeight w:val="22"/>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7"/>
        </w:trPr>
        <w:tc>
          <w:tcPr>
            <w:tcW w:w="4660" w:type="dxa"/>
            <w:vAlign w:val="bottom"/>
            <w:tcBorders>
              <w:bottom w:val="single" w:sz="8" w:color="CCEEFF"/>
            </w:tcBorders>
            <w:gridSpan w:val="3"/>
            <w:shd w:val="clear" w:color="auto" w:fill="CCEEFF"/>
          </w:tcPr>
          <w:p>
            <w:pPr>
              <w:ind w:left="20"/>
              <w:spacing w:after="0" w:line="234" w:lineRule="exact"/>
              <w:rPr>
                <w:sz w:val="20"/>
                <w:szCs w:val="20"/>
                <w:color w:val="auto"/>
              </w:rPr>
            </w:pPr>
            <w:r>
              <w:rPr>
                <w:rFonts w:ascii="Calibri" w:cs="Calibri" w:eastAsia="Calibri" w:hAnsi="Calibri"/>
                <w:sz w:val="20"/>
                <w:szCs w:val="20"/>
                <w:b w:val="1"/>
                <w:bCs w:val="1"/>
                <w:color w:val="auto"/>
              </w:rPr>
              <w:t>Adjusted EBITDA Margin</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18.6 %</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16.3 %</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19.3 %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16.9 %</w:t>
            </w:r>
          </w:p>
        </w:tc>
      </w:tr>
      <w:tr>
        <w:trPr>
          <w:trHeight w:val="351"/>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8"/>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28"/>
        </w:trPr>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8"/>
          </w:tcPr>
          <w:p>
            <w:pPr>
              <w:jc w:val="center"/>
              <w:ind w:right="200"/>
              <w:spacing w:after="0" w:line="228" w:lineRule="exact"/>
              <w:rPr>
                <w:sz w:val="20"/>
                <w:szCs w:val="20"/>
                <w:color w:val="auto"/>
              </w:rPr>
            </w:pPr>
            <w:r>
              <w:rPr>
                <w:rFonts w:ascii="Calibri" w:cs="Calibri" w:eastAsia="Calibri" w:hAnsi="Calibri"/>
                <w:sz w:val="20"/>
                <w:szCs w:val="20"/>
                <w:b w:val="1"/>
                <w:bCs w:val="1"/>
                <w:color w:val="auto"/>
              </w:rPr>
              <w:t>Milk Makeup</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72"/>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200"/>
              <w:spacing w:after="0" w:line="172" w:lineRule="exact"/>
              <w:rPr>
                <w:sz w:val="20"/>
                <w:szCs w:val="20"/>
                <w:color w:val="auto"/>
              </w:rPr>
            </w:pPr>
            <w:r>
              <w:rPr>
                <w:rFonts w:ascii="Calibri" w:cs="Calibri" w:eastAsia="Calibri" w:hAnsi="Calibri"/>
                <w:sz w:val="18"/>
                <w:szCs w:val="18"/>
                <w:b w:val="1"/>
                <w:bCs w:val="1"/>
                <w:color w:val="auto"/>
              </w:rPr>
              <w:t>Three Months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200"/>
              <w:spacing w:after="0" w:line="172" w:lineRule="exact"/>
              <w:rPr>
                <w:sz w:val="20"/>
                <w:szCs w:val="20"/>
                <w:color w:val="auto"/>
              </w:rPr>
            </w:pPr>
            <w:r>
              <w:rPr>
                <w:rFonts w:ascii="Calibri" w:cs="Calibri" w:eastAsia="Calibri" w:hAnsi="Calibri"/>
                <w:sz w:val="18"/>
                <w:szCs w:val="18"/>
                <w:b w:val="1"/>
                <w:bCs w:val="1"/>
                <w:color w:val="auto"/>
              </w:rPr>
              <w:t>Three Months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4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200"/>
              <w:spacing w:after="0" w:line="203" w:lineRule="exact"/>
              <w:rPr>
                <w:sz w:val="20"/>
                <w:szCs w:val="20"/>
                <w:color w:val="auto"/>
              </w:rPr>
            </w:pPr>
            <w:r>
              <w:rPr>
                <w:rFonts w:ascii="Calibri" w:cs="Calibri" w:eastAsia="Calibri" w:hAnsi="Calibri"/>
                <w:sz w:val="20"/>
                <w:szCs w:val="20"/>
                <w:b w:val="1"/>
                <w:bCs w:val="1"/>
                <w:color w:val="auto"/>
              </w:rPr>
              <w:t>Ended June 30,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200"/>
              <w:spacing w:after="0" w:line="203" w:lineRule="exact"/>
              <w:rPr>
                <w:sz w:val="20"/>
                <w:szCs w:val="20"/>
                <w:color w:val="auto"/>
              </w:rPr>
            </w:pPr>
            <w:r>
              <w:rPr>
                <w:rFonts w:ascii="Calibri" w:cs="Calibri" w:eastAsia="Calibri" w:hAnsi="Calibri"/>
                <w:sz w:val="20"/>
                <w:szCs w:val="20"/>
                <w:b w:val="1"/>
                <w:bCs w:val="1"/>
                <w:color w:val="auto"/>
              </w:rPr>
              <w:t>Ended June 30,</w:t>
            </w:r>
          </w:p>
        </w:tc>
        <w:tc>
          <w:tcPr>
            <w:tcW w:w="40" w:type="dxa"/>
            <w:vAlign w:val="bottom"/>
          </w:tcPr>
          <w:p>
            <w:pPr>
              <w:spacing w:after="0"/>
              <w:rPr>
                <w:sz w:val="17"/>
                <w:szCs w:val="17"/>
                <w:color w:val="auto"/>
              </w:rPr>
            </w:pPr>
          </w:p>
        </w:tc>
        <w:tc>
          <w:tcPr>
            <w:tcW w:w="1640" w:type="dxa"/>
            <w:vAlign w:val="bottom"/>
            <w:gridSpan w:val="4"/>
          </w:tcPr>
          <w:p>
            <w:pPr>
              <w:ind w:left="20"/>
              <w:spacing w:after="0" w:line="203" w:lineRule="exact"/>
              <w:rPr>
                <w:sz w:val="20"/>
                <w:szCs w:val="20"/>
                <w:color w:val="auto"/>
              </w:rPr>
            </w:pPr>
            <w:r>
              <w:rPr>
                <w:rFonts w:ascii="Calibri" w:cs="Calibri" w:eastAsia="Calibri" w:hAnsi="Calibri"/>
                <w:sz w:val="20"/>
                <w:szCs w:val="20"/>
                <w:b w:val="1"/>
                <w:bCs w:val="1"/>
                <w:color w:val="auto"/>
              </w:rPr>
              <w:t>Six months ended</w:t>
            </w:r>
          </w:p>
        </w:tc>
        <w:tc>
          <w:tcPr>
            <w:tcW w:w="20" w:type="dxa"/>
            <w:vAlign w:val="bottom"/>
          </w:tcPr>
          <w:p>
            <w:pPr>
              <w:spacing w:after="0"/>
              <w:rPr>
                <w:sz w:val="17"/>
                <w:szCs w:val="17"/>
                <w:color w:val="auto"/>
              </w:rPr>
            </w:pPr>
          </w:p>
        </w:tc>
        <w:tc>
          <w:tcPr>
            <w:tcW w:w="1560" w:type="dxa"/>
            <w:vAlign w:val="bottom"/>
            <w:gridSpan w:val="2"/>
          </w:tcPr>
          <w:p>
            <w:pPr>
              <w:ind w:left="20"/>
              <w:spacing w:after="0" w:line="203" w:lineRule="exact"/>
              <w:rPr>
                <w:sz w:val="20"/>
                <w:szCs w:val="20"/>
                <w:color w:val="auto"/>
              </w:rPr>
            </w:pPr>
            <w:r>
              <w:rPr>
                <w:rFonts w:ascii="Calibri" w:cs="Calibri" w:eastAsia="Calibri" w:hAnsi="Calibri"/>
                <w:sz w:val="20"/>
                <w:szCs w:val="20"/>
                <w:b w:val="1"/>
                <w:bCs w:val="1"/>
                <w:color w:val="auto"/>
              </w:rPr>
              <w:t>Six months ended</w:t>
            </w:r>
          </w:p>
        </w:tc>
      </w:tr>
      <w:tr>
        <w:trPr>
          <w:trHeight w:val="240"/>
        </w:trPr>
        <w:tc>
          <w:tcPr>
            <w:tcW w:w="4660" w:type="dxa"/>
            <w:vAlign w:val="bottom"/>
            <w:gridSpan w:val="3"/>
          </w:tcPr>
          <w:p>
            <w:pPr>
              <w:ind w:left="20"/>
              <w:spacing w:after="0"/>
              <w:rPr>
                <w:sz w:val="20"/>
                <w:szCs w:val="20"/>
                <w:color w:val="auto"/>
              </w:rPr>
            </w:pPr>
            <w:r>
              <w:rPr>
                <w:rFonts w:ascii="Calibri" w:cs="Calibri" w:eastAsia="Calibri" w:hAnsi="Calibri"/>
                <w:sz w:val="16"/>
                <w:szCs w:val="16"/>
                <w:i w:val="1"/>
                <w:iCs w:val="1"/>
                <w:color w:val="auto"/>
              </w:rPr>
              <w:t>(In thousands, except for percentages)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center"/>
              <w:ind w:right="2"/>
              <w:spacing w:after="0" w:line="234" w:lineRule="exact"/>
              <w:rPr>
                <w:sz w:val="20"/>
                <w:szCs w:val="20"/>
                <w:color w:val="auto"/>
              </w:rPr>
            </w:pPr>
            <w:r>
              <w:rPr>
                <w:rFonts w:ascii="Calibri" w:cs="Calibri" w:eastAsia="Calibri" w:hAnsi="Calibri"/>
                <w:sz w:val="20"/>
                <w:szCs w:val="20"/>
                <w:b w:val="1"/>
                <w:bCs w:val="1"/>
                <w:color w:val="auto"/>
                <w:w w:val="98"/>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center"/>
              <w:ind w:right="2"/>
              <w:spacing w:after="0" w:line="234" w:lineRule="exact"/>
              <w:rPr>
                <w:sz w:val="20"/>
                <w:szCs w:val="20"/>
                <w:color w:val="auto"/>
              </w:rPr>
            </w:pPr>
            <w:r>
              <w:rPr>
                <w:rFonts w:ascii="Calibri" w:cs="Calibri" w:eastAsia="Calibri" w:hAnsi="Calibri"/>
                <w:sz w:val="20"/>
                <w:szCs w:val="20"/>
                <w:b w:val="1"/>
                <w:bCs w:val="1"/>
                <w:color w:val="auto"/>
                <w:w w:val="98"/>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ind w:left="60"/>
              <w:spacing w:after="0" w:line="234" w:lineRule="exact"/>
              <w:rPr>
                <w:sz w:val="20"/>
                <w:szCs w:val="20"/>
                <w:color w:val="auto"/>
              </w:rPr>
            </w:pPr>
            <w:r>
              <w:rPr>
                <w:rFonts w:ascii="Calibri" w:cs="Calibri" w:eastAsia="Calibri" w:hAnsi="Calibri"/>
                <w:sz w:val="20"/>
                <w:szCs w:val="20"/>
                <w:b w:val="1"/>
                <w:bCs w:val="1"/>
                <w:color w:val="auto"/>
              </w:rPr>
              <w:t>June 30, 2024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b w:val="1"/>
                <w:bCs w:val="1"/>
                <w:color w:val="auto"/>
              </w:rPr>
              <w:t>June 30, 2023</w:t>
            </w:r>
          </w:p>
        </w:tc>
      </w:tr>
      <w:tr>
        <w:trPr>
          <w:trHeight w:val="28"/>
        </w:trPr>
        <w:tc>
          <w:tcPr>
            <w:tcW w:w="46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600" w:type="dxa"/>
            <w:vAlign w:val="bottom"/>
            <w:tcBorders>
              <w:bottom w:val="single" w:sz="8" w:color="CCEEFF"/>
            </w:tcBorders>
            <w:gridSpan w:val="2"/>
            <w:shd w:val="clear" w:color="auto" w:fill="CCEEFF"/>
          </w:tcPr>
          <w:p>
            <w:pPr>
              <w:ind w:left="20"/>
              <w:spacing w:after="0" w:line="228" w:lineRule="exact"/>
              <w:rPr>
                <w:sz w:val="20"/>
                <w:szCs w:val="20"/>
                <w:color w:val="auto"/>
              </w:rPr>
            </w:pPr>
            <w:r>
              <w:rPr>
                <w:rFonts w:ascii="Calibri" w:cs="Calibri" w:eastAsia="Calibri" w:hAnsi="Calibri"/>
                <w:sz w:val="20"/>
                <w:szCs w:val="20"/>
                <w:b w:val="1"/>
                <w:bCs w:val="1"/>
                <w:color w:val="auto"/>
              </w:rPr>
              <w:t>Net Income (Loss)</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20" w:type="dxa"/>
            <w:vAlign w:val="bottom"/>
            <w:tcBorders>
              <w:bottom w:val="single" w:sz="8" w:color="CCEEFF"/>
            </w:tcBorders>
            <w:shd w:val="clear" w:color="auto" w:fill="CCEEFF"/>
          </w:tcPr>
          <w:p>
            <w:pPr>
              <w:jc w:val="right"/>
              <w:ind w:right="62"/>
              <w:spacing w:after="0" w:line="228" w:lineRule="exact"/>
              <w:rPr>
                <w:sz w:val="20"/>
                <w:szCs w:val="20"/>
                <w:color w:val="auto"/>
              </w:rPr>
            </w:pPr>
            <w:r>
              <w:rPr>
                <w:rFonts w:ascii="Calibri" w:cs="Calibri" w:eastAsia="Calibri" w:hAnsi="Calibri"/>
                <w:sz w:val="20"/>
                <w:szCs w:val="20"/>
                <w:color w:val="auto"/>
              </w:rPr>
              <w:t>(414)</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20" w:type="dxa"/>
            <w:vAlign w:val="bottom"/>
            <w:tcBorders>
              <w:bottom w:val="single" w:sz="8" w:color="CCEEFF"/>
            </w:tcBorders>
            <w:shd w:val="clear" w:color="auto" w:fill="CCEEFF"/>
          </w:tcPr>
          <w:p>
            <w:pPr>
              <w:jc w:val="right"/>
              <w:ind w:right="62"/>
              <w:spacing w:after="0" w:line="228" w:lineRule="exact"/>
              <w:rPr>
                <w:sz w:val="20"/>
                <w:szCs w:val="20"/>
                <w:color w:val="auto"/>
              </w:rPr>
            </w:pPr>
            <w:r>
              <w:rPr>
                <w:rFonts w:ascii="Calibri" w:cs="Calibri" w:eastAsia="Calibri" w:hAnsi="Calibri"/>
                <w:sz w:val="20"/>
                <w:szCs w:val="20"/>
                <w:color w:val="auto"/>
              </w:rPr>
              <w:t>(1,457)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color w:val="auto"/>
                <w:w w:val="98"/>
              </w:rPr>
              <w:t>$</w:t>
            </w:r>
          </w:p>
        </w:tc>
        <w:tc>
          <w:tcPr>
            <w:tcW w:w="1400" w:type="dxa"/>
            <w:vAlign w:val="bottom"/>
            <w:tcBorders>
              <w:bottom w:val="single" w:sz="8" w:color="CCEEFF"/>
            </w:tcBorders>
            <w:shd w:val="clear" w:color="auto" w:fill="CCEEFF"/>
          </w:tcPr>
          <w:p>
            <w:pPr>
              <w:jc w:val="right"/>
              <w:ind w:right="101"/>
              <w:spacing w:after="0" w:line="228" w:lineRule="exact"/>
              <w:rPr>
                <w:sz w:val="20"/>
                <w:szCs w:val="20"/>
                <w:color w:val="auto"/>
              </w:rPr>
            </w:pPr>
            <w:r>
              <w:rPr>
                <w:rFonts w:ascii="Calibri" w:cs="Calibri" w:eastAsia="Calibri" w:hAnsi="Calibri"/>
                <w:sz w:val="20"/>
                <w:szCs w:val="20"/>
                <w:color w:val="auto"/>
              </w:rPr>
              <w:t>4,926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bottom w:val="single" w:sz="8" w:color="CCEEFF"/>
            </w:tcBorders>
            <w:shd w:val="clear" w:color="auto" w:fill="CCEEFF"/>
          </w:tcPr>
          <w:p>
            <w:pPr>
              <w:jc w:val="right"/>
              <w:ind w:right="81"/>
              <w:spacing w:after="0" w:line="228" w:lineRule="exact"/>
              <w:rPr>
                <w:sz w:val="20"/>
                <w:szCs w:val="20"/>
                <w:color w:val="auto"/>
              </w:rPr>
            </w:pPr>
            <w:r>
              <w:rPr>
                <w:rFonts w:ascii="Calibri" w:cs="Calibri" w:eastAsia="Calibri" w:hAnsi="Calibri"/>
                <w:sz w:val="20"/>
                <w:szCs w:val="20"/>
                <w:color w:val="auto"/>
              </w:rPr>
              <w:t>(676)</w:t>
            </w:r>
          </w:p>
        </w:tc>
      </w:tr>
      <w:tr>
        <w:trPr>
          <w:trHeight w:val="234"/>
        </w:trPr>
        <w:tc>
          <w:tcPr>
            <w:tcW w:w="4660" w:type="dxa"/>
            <w:vAlign w:val="bottom"/>
            <w:gridSpan w:val="3"/>
          </w:tcPr>
          <w:p>
            <w:pPr>
              <w:ind w:left="20"/>
              <w:spacing w:after="0" w:line="234" w:lineRule="exact"/>
              <w:rPr>
                <w:sz w:val="20"/>
                <w:szCs w:val="20"/>
                <w:color w:val="auto"/>
              </w:rPr>
            </w:pPr>
            <w:r>
              <w:rPr>
                <w:rFonts w:ascii="Calibri" w:cs="Calibri" w:eastAsia="Calibri" w:hAnsi="Calibri"/>
                <w:sz w:val="20"/>
                <w:szCs w:val="20"/>
                <w:color w:val="auto"/>
              </w:rPr>
              <w:t>Adjusted For: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
        </w:trPr>
        <w:tc>
          <w:tcPr>
            <w:tcW w:w="4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6"/>
        </w:trPr>
        <w:tc>
          <w:tcPr>
            <w:tcW w:w="4660" w:type="dxa"/>
            <w:vAlign w:val="bottom"/>
            <w:tcBorders>
              <w:bottom w:val="single" w:sz="8" w:color="CCEEFF"/>
            </w:tcBorders>
            <w:gridSpan w:val="3"/>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Depreciaton and amortzaton</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2"/>
              <w:spacing w:after="0" w:line="234" w:lineRule="exact"/>
              <w:rPr>
                <w:sz w:val="20"/>
                <w:szCs w:val="20"/>
                <w:color w:val="auto"/>
              </w:rPr>
            </w:pPr>
            <w:r>
              <w:rPr>
                <w:rFonts w:ascii="Calibri" w:cs="Calibri" w:eastAsia="Calibri" w:hAnsi="Calibri"/>
                <w:sz w:val="20"/>
                <w:szCs w:val="20"/>
                <w:color w:val="auto"/>
              </w:rPr>
              <w:t>4,735</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02"/>
              <w:spacing w:after="0" w:line="234" w:lineRule="exact"/>
              <w:rPr>
                <w:sz w:val="20"/>
                <w:szCs w:val="20"/>
                <w:color w:val="auto"/>
              </w:rPr>
            </w:pPr>
            <w:r>
              <w:rPr>
                <w:rFonts w:ascii="Calibri" w:cs="Calibri" w:eastAsia="Calibri" w:hAnsi="Calibri"/>
                <w:sz w:val="20"/>
                <w:szCs w:val="20"/>
                <w:color w:val="auto"/>
              </w:rPr>
              <w:t>4,381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1"/>
              <w:spacing w:after="0" w:line="234" w:lineRule="exact"/>
              <w:rPr>
                <w:sz w:val="20"/>
                <w:szCs w:val="20"/>
                <w:color w:val="auto"/>
              </w:rPr>
            </w:pPr>
            <w:r>
              <w:rPr>
                <w:rFonts w:ascii="Calibri" w:cs="Calibri" w:eastAsia="Calibri" w:hAnsi="Calibri"/>
                <w:sz w:val="20"/>
                <w:szCs w:val="20"/>
                <w:color w:val="auto"/>
              </w:rPr>
              <w:t>9,224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9,536</w:t>
            </w:r>
          </w:p>
        </w:tc>
      </w:tr>
      <w:tr>
        <w:trPr>
          <w:trHeight w:val="234"/>
        </w:trPr>
        <w:tc>
          <w:tcPr>
            <w:tcW w:w="4660" w:type="dxa"/>
            <w:vAlign w:val="bottom"/>
            <w:gridSpan w:val="3"/>
          </w:tcPr>
          <w:p>
            <w:pPr>
              <w:ind w:left="100"/>
              <w:spacing w:after="0" w:line="234" w:lineRule="exact"/>
              <w:rPr>
                <w:sz w:val="20"/>
                <w:szCs w:val="20"/>
                <w:color w:val="auto"/>
              </w:rPr>
            </w:pPr>
            <w:r>
              <w:rPr>
                <w:rFonts w:ascii="Calibri" w:cs="Calibri" w:eastAsia="Calibri" w:hAnsi="Calibri"/>
                <w:sz w:val="20"/>
                <w:szCs w:val="20"/>
                <w:color w:val="auto"/>
              </w:rPr>
              <w:t>Interest expense, net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02"/>
              <w:spacing w:after="0" w:line="234" w:lineRule="exact"/>
              <w:rPr>
                <w:sz w:val="20"/>
                <w:szCs w:val="20"/>
                <w:color w:val="auto"/>
              </w:rPr>
            </w:pPr>
            <w:r>
              <w:rPr>
                <w:rFonts w:ascii="Calibri" w:cs="Calibri" w:eastAsia="Calibri" w:hAnsi="Calibri"/>
                <w:sz w:val="20"/>
                <w:szCs w:val="20"/>
                <w:color w:val="auto"/>
              </w:rPr>
              <w:t>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02"/>
              <w:spacing w:after="0" w:line="234" w:lineRule="exact"/>
              <w:rPr>
                <w:sz w:val="20"/>
                <w:szCs w:val="20"/>
                <w:color w:val="auto"/>
              </w:rPr>
            </w:pPr>
            <w:r>
              <w:rPr>
                <w:rFonts w:ascii="Calibri" w:cs="Calibri" w:eastAsia="Calibri" w:hAnsi="Calibri"/>
                <w:sz w:val="20"/>
                <w:szCs w:val="20"/>
                <w:color w:val="auto"/>
              </w:rPr>
              <w:t>236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424</w:t>
            </w:r>
          </w:p>
        </w:tc>
      </w:tr>
      <w:tr>
        <w:trPr>
          <w:trHeight w:val="22"/>
        </w:trPr>
        <w:tc>
          <w:tcPr>
            <w:tcW w:w="4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6"/>
        </w:trPr>
        <w:tc>
          <w:tcPr>
            <w:tcW w:w="4660" w:type="dxa"/>
            <w:vAlign w:val="bottom"/>
            <w:tcBorders>
              <w:bottom w:val="single" w:sz="8" w:color="CCEEFF"/>
            </w:tcBorders>
            <w:gridSpan w:val="3"/>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Income tax expense</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jc w:val="right"/>
              <w:ind w:right="280"/>
              <w:spacing w:after="0" w:line="234" w:lineRule="exact"/>
              <w:rPr>
                <w:sz w:val="20"/>
                <w:szCs w:val="20"/>
                <w:color w:val="auto"/>
              </w:rPr>
            </w:pPr>
            <w:r>
              <w:rPr>
                <w:rFonts w:ascii="Calibri" w:cs="Calibri" w:eastAsia="Calibri" w:hAnsi="Calibri"/>
                <w:sz w:val="20"/>
                <w:szCs w:val="20"/>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jc w:val="right"/>
              <w:ind w:right="280"/>
              <w:spacing w:after="0" w:line="234" w:lineRule="exact"/>
              <w:rPr>
                <w:sz w:val="20"/>
                <w:szCs w:val="20"/>
                <w:color w:val="auto"/>
              </w:rPr>
            </w:pPr>
            <w:r>
              <w:rPr>
                <w:rFonts w:ascii="Calibri" w:cs="Calibri" w:eastAsia="Calibri" w:hAnsi="Calibri"/>
                <w:sz w:val="20"/>
                <w:szCs w:val="20"/>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jc w:val="right"/>
              <w:ind w:right="300"/>
              <w:spacing w:after="0" w:line="234" w:lineRule="exact"/>
              <w:rPr>
                <w:sz w:val="20"/>
                <w:szCs w:val="20"/>
                <w:color w:val="auto"/>
              </w:rPr>
            </w:pPr>
            <w:r>
              <w:rPr>
                <w:rFonts w:ascii="Calibri" w:cs="Calibri" w:eastAsia="Calibri" w:hAnsi="Calibri"/>
                <w:sz w:val="20"/>
                <w:szCs w:val="20"/>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1</w:t>
            </w:r>
          </w:p>
        </w:tc>
      </w:tr>
      <w:tr>
        <w:trPr>
          <w:trHeight w:val="234"/>
        </w:trPr>
        <w:tc>
          <w:tcPr>
            <w:tcW w:w="4660" w:type="dxa"/>
            <w:vAlign w:val="bottom"/>
            <w:gridSpan w:val="3"/>
          </w:tcPr>
          <w:p>
            <w:pPr>
              <w:ind w:left="100"/>
              <w:spacing w:after="0" w:line="234" w:lineRule="exact"/>
              <w:rPr>
                <w:sz w:val="20"/>
                <w:szCs w:val="20"/>
                <w:color w:val="auto"/>
              </w:rPr>
            </w:pPr>
            <w:r>
              <w:rPr>
                <w:rFonts w:ascii="Calibri" w:cs="Calibri" w:eastAsia="Calibri" w:hAnsi="Calibri"/>
                <w:sz w:val="20"/>
                <w:szCs w:val="20"/>
                <w:color w:val="auto"/>
              </w:rPr>
              <w:t>Stock-based compensaton expense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02"/>
              <w:spacing w:after="0" w:line="234" w:lineRule="exact"/>
              <w:rPr>
                <w:sz w:val="20"/>
                <w:szCs w:val="20"/>
                <w:color w:val="auto"/>
              </w:rPr>
            </w:pPr>
            <w:r>
              <w:rPr>
                <w:rFonts w:ascii="Calibri" w:cs="Calibri" w:eastAsia="Calibri" w:hAnsi="Calibri"/>
                <w:sz w:val="20"/>
                <w:szCs w:val="20"/>
                <w:color w:val="auto"/>
              </w:rPr>
              <w:t>1,191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02"/>
              <w:spacing w:after="0" w:line="234" w:lineRule="exact"/>
              <w:rPr>
                <w:sz w:val="20"/>
                <w:szCs w:val="20"/>
                <w:color w:val="auto"/>
              </w:rPr>
            </w:pPr>
            <w:r>
              <w:rPr>
                <w:rFonts w:ascii="Calibri" w:cs="Calibri" w:eastAsia="Calibri" w:hAnsi="Calibri"/>
                <w:sz w:val="20"/>
                <w:szCs w:val="20"/>
                <w:color w:val="auto"/>
              </w:rPr>
              <w:t>556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101"/>
              <w:spacing w:after="0" w:line="234" w:lineRule="exact"/>
              <w:rPr>
                <w:sz w:val="20"/>
                <w:szCs w:val="20"/>
                <w:color w:val="auto"/>
              </w:rPr>
            </w:pPr>
            <w:r>
              <w:rPr>
                <w:rFonts w:ascii="Calibri" w:cs="Calibri" w:eastAsia="Calibri" w:hAnsi="Calibri"/>
                <w:sz w:val="20"/>
                <w:szCs w:val="20"/>
                <w:color w:val="auto"/>
              </w:rPr>
              <w:t>1,549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21"/>
              <w:spacing w:after="0" w:line="234" w:lineRule="exact"/>
              <w:rPr>
                <w:sz w:val="20"/>
                <w:szCs w:val="20"/>
                <w:color w:val="auto"/>
              </w:rPr>
            </w:pPr>
            <w:r>
              <w:rPr>
                <w:rFonts w:ascii="Calibri" w:cs="Calibri" w:eastAsia="Calibri" w:hAnsi="Calibri"/>
                <w:sz w:val="20"/>
                <w:szCs w:val="20"/>
                <w:color w:val="auto"/>
              </w:rPr>
              <w:t>1,428</w:t>
            </w:r>
          </w:p>
        </w:tc>
      </w:tr>
      <w:tr>
        <w:trPr>
          <w:trHeight w:val="22"/>
        </w:trPr>
        <w:tc>
          <w:tcPr>
            <w:tcW w:w="4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4660" w:type="dxa"/>
            <w:vAlign w:val="bottom"/>
            <w:tcBorders>
              <w:bottom w:val="single" w:sz="8" w:color="CCEEFF"/>
            </w:tcBorders>
            <w:gridSpan w:val="3"/>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Other costs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2"/>
              <w:spacing w:after="0" w:line="234" w:lineRule="exact"/>
              <w:rPr>
                <w:sz w:val="20"/>
                <w:szCs w:val="20"/>
                <w:color w:val="auto"/>
              </w:rPr>
            </w:pPr>
            <w:r>
              <w:rPr>
                <w:rFonts w:ascii="Calibri" w:cs="Calibri" w:eastAsia="Calibri" w:hAnsi="Calibri"/>
                <w:sz w:val="20"/>
                <w:szCs w:val="20"/>
                <w:color w:val="auto"/>
              </w:rPr>
              <w:t>124</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2"/>
              <w:spacing w:after="0" w:line="234" w:lineRule="exact"/>
              <w:rPr>
                <w:sz w:val="20"/>
                <w:szCs w:val="20"/>
                <w:color w:val="auto"/>
              </w:rPr>
            </w:pPr>
            <w:r>
              <w:rPr>
                <w:rFonts w:ascii="Calibri" w:cs="Calibri" w:eastAsia="Calibri" w:hAnsi="Calibri"/>
                <w:sz w:val="20"/>
                <w:szCs w:val="20"/>
                <w:color w:val="auto"/>
              </w:rPr>
              <w:t>133</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1"/>
              <w:spacing w:after="0" w:line="234" w:lineRule="exact"/>
              <w:rPr>
                <w:sz w:val="20"/>
                <w:szCs w:val="20"/>
                <w:color w:val="auto"/>
              </w:rPr>
            </w:pPr>
            <w:r>
              <w:rPr>
                <w:rFonts w:ascii="Calibri" w:cs="Calibri" w:eastAsia="Calibri" w:hAnsi="Calibri"/>
                <w:sz w:val="20"/>
                <w:szCs w:val="20"/>
                <w:color w:val="auto"/>
              </w:rPr>
              <w:t>20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2,006</w:t>
            </w:r>
          </w:p>
        </w:tc>
      </w:tr>
      <w:tr>
        <w:trPr>
          <w:trHeight w:val="228"/>
        </w:trPr>
        <w:tc>
          <w:tcPr>
            <w:tcW w:w="4660" w:type="dxa"/>
            <w:vAlign w:val="bottom"/>
            <w:gridSpan w:val="3"/>
          </w:tcPr>
          <w:p>
            <w:pPr>
              <w:ind w:left="20"/>
              <w:spacing w:after="0" w:line="214" w:lineRule="exact"/>
              <w:rPr>
                <w:sz w:val="20"/>
                <w:szCs w:val="20"/>
                <w:color w:val="auto"/>
              </w:rPr>
            </w:pPr>
            <w:r>
              <w:rPr>
                <w:rFonts w:ascii="Calibri" w:cs="Calibri" w:eastAsia="Calibri" w:hAnsi="Calibri"/>
                <w:sz w:val="20"/>
                <w:szCs w:val="20"/>
                <w:b w:val="1"/>
                <w:bCs w:val="1"/>
                <w:color w:val="auto"/>
              </w:rPr>
              <w:t>Adjusted EBITDA</w:t>
            </w: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20" w:type="dxa"/>
            <w:vAlign w:val="bottom"/>
            <w:tcBorders>
              <w:top w:val="single" w:sz="8" w:color="auto"/>
            </w:tcBorders>
          </w:tcPr>
          <w:p>
            <w:pPr>
              <w:jc w:val="right"/>
              <w:ind w:right="102"/>
              <w:spacing w:after="0" w:line="228" w:lineRule="exact"/>
              <w:rPr>
                <w:sz w:val="20"/>
                <w:szCs w:val="20"/>
                <w:color w:val="auto"/>
              </w:rPr>
            </w:pPr>
            <w:r>
              <w:rPr>
                <w:rFonts w:ascii="Calibri" w:cs="Calibri" w:eastAsia="Calibri" w:hAnsi="Calibri"/>
                <w:sz w:val="20"/>
                <w:szCs w:val="20"/>
                <w:color w:val="auto"/>
              </w:rPr>
              <w:t>5,696</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420" w:type="dxa"/>
            <w:vAlign w:val="bottom"/>
            <w:tcBorders>
              <w:top w:val="single" w:sz="8" w:color="auto"/>
            </w:tcBorders>
          </w:tcPr>
          <w:p>
            <w:pPr>
              <w:jc w:val="right"/>
              <w:ind w:right="102"/>
              <w:spacing w:after="0" w:line="228" w:lineRule="exact"/>
              <w:rPr>
                <w:sz w:val="20"/>
                <w:szCs w:val="20"/>
                <w:color w:val="auto"/>
              </w:rPr>
            </w:pPr>
            <w:r>
              <w:rPr>
                <w:rFonts w:ascii="Calibri" w:cs="Calibri" w:eastAsia="Calibri" w:hAnsi="Calibri"/>
                <w:sz w:val="20"/>
                <w:szCs w:val="20"/>
                <w:color w:val="auto"/>
              </w:rPr>
              <w:t>3,849</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ind w:left="20"/>
              <w:spacing w:after="0" w:line="228" w:lineRule="exact"/>
              <w:rPr>
                <w:sz w:val="20"/>
                <w:szCs w:val="20"/>
                <w:color w:val="auto"/>
              </w:rPr>
            </w:pPr>
            <w:r>
              <w:rPr>
                <w:rFonts w:ascii="Calibri" w:cs="Calibri" w:eastAsia="Calibri" w:hAnsi="Calibri"/>
                <w:sz w:val="20"/>
                <w:szCs w:val="20"/>
                <w:color w:val="auto"/>
                <w:w w:val="98"/>
              </w:rPr>
              <w:t>$</w:t>
            </w:r>
          </w:p>
        </w:tc>
        <w:tc>
          <w:tcPr>
            <w:tcW w:w="1400" w:type="dxa"/>
            <w:vAlign w:val="bottom"/>
            <w:tcBorders>
              <w:top w:val="single" w:sz="8" w:color="auto"/>
            </w:tcBorders>
          </w:tcPr>
          <w:p>
            <w:pPr>
              <w:jc w:val="right"/>
              <w:ind w:right="101"/>
              <w:spacing w:after="0" w:line="228" w:lineRule="exact"/>
              <w:rPr>
                <w:sz w:val="20"/>
                <w:szCs w:val="20"/>
                <w:color w:val="auto"/>
              </w:rPr>
            </w:pPr>
            <w:r>
              <w:rPr>
                <w:rFonts w:ascii="Calibri" w:cs="Calibri" w:eastAsia="Calibri" w:hAnsi="Calibri"/>
                <w:sz w:val="20"/>
                <w:szCs w:val="20"/>
                <w:color w:val="auto"/>
              </w:rPr>
              <w:t>15,724</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ind w:left="20"/>
              <w:spacing w:after="0" w:line="228" w:lineRule="exact"/>
              <w:rPr>
                <w:sz w:val="20"/>
                <w:szCs w:val="20"/>
                <w:color w:val="auto"/>
              </w:rPr>
            </w:pPr>
            <w:r>
              <w:rPr>
                <w:rFonts w:ascii="Calibri" w:cs="Calibri" w:eastAsia="Calibri" w:hAnsi="Calibri"/>
                <w:sz w:val="20"/>
                <w:szCs w:val="20"/>
                <w:color w:val="auto"/>
              </w:rPr>
              <w:t>$</w:t>
            </w:r>
          </w:p>
        </w:tc>
        <w:tc>
          <w:tcPr>
            <w:tcW w:w="1400" w:type="dxa"/>
            <w:vAlign w:val="bottom"/>
            <w:tcBorders>
              <w:top w:val="single" w:sz="8" w:color="auto"/>
            </w:tcBorders>
          </w:tcPr>
          <w:p>
            <w:pPr>
              <w:jc w:val="right"/>
              <w:ind w:right="121"/>
              <w:spacing w:after="0" w:line="228" w:lineRule="exact"/>
              <w:rPr>
                <w:sz w:val="20"/>
                <w:szCs w:val="20"/>
                <w:color w:val="auto"/>
              </w:rPr>
            </w:pPr>
            <w:r>
              <w:rPr>
                <w:rFonts w:ascii="Calibri" w:cs="Calibri" w:eastAsia="Calibri" w:hAnsi="Calibri"/>
                <w:sz w:val="20"/>
                <w:szCs w:val="20"/>
                <w:color w:val="auto"/>
              </w:rPr>
              <w:t>12,719</w:t>
            </w:r>
          </w:p>
        </w:tc>
      </w:tr>
      <w:tr>
        <w:trPr>
          <w:trHeight w:val="22"/>
        </w:trPr>
        <w:tc>
          <w:tcPr>
            <w:tcW w:w="4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6"/>
        </w:trPr>
        <w:tc>
          <w:tcPr>
            <w:tcW w:w="4660" w:type="dxa"/>
            <w:vAlign w:val="bottom"/>
            <w:tcBorders>
              <w:bottom w:val="single" w:sz="8" w:color="CCEEFF"/>
            </w:tcBorders>
            <w:gridSpan w:val="3"/>
            <w:shd w:val="clear" w:color="auto" w:fill="CCEEFF"/>
          </w:tcPr>
          <w:p>
            <w:pPr>
              <w:ind w:left="20"/>
              <w:spacing w:after="0" w:line="234" w:lineRule="exact"/>
              <w:rPr>
                <w:sz w:val="20"/>
                <w:szCs w:val="20"/>
                <w:color w:val="auto"/>
              </w:rPr>
            </w:pPr>
            <w:r>
              <w:rPr>
                <w:rFonts w:ascii="Calibri" w:cs="Calibri" w:eastAsia="Calibri" w:hAnsi="Calibri"/>
                <w:sz w:val="20"/>
                <w:szCs w:val="20"/>
                <w:b w:val="1"/>
                <w:bCs w:val="1"/>
                <w:color w:val="auto"/>
              </w:rPr>
              <w:t>Net Revenue</w:t>
            </w:r>
          </w:p>
        </w:tc>
        <w:tc>
          <w:tcPr>
            <w:tcW w:w="160" w:type="dxa"/>
            <w:vAlign w:val="bottom"/>
            <w:tcBorders>
              <w:bottom w:val="single" w:sz="8" w:color="CCEEFF"/>
            </w:tcBorders>
            <w:gridSpan w:val="2"/>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tcBorders>
              <w:bottom w:val="single" w:sz="8" w:color="CCEEFF"/>
            </w:tcBorders>
            <w:shd w:val="clear" w:color="auto" w:fill="CCEEFF"/>
          </w:tcPr>
          <w:p>
            <w:pPr>
              <w:jc w:val="right"/>
              <w:ind w:right="102"/>
              <w:spacing w:after="0" w:line="234" w:lineRule="exact"/>
              <w:rPr>
                <w:sz w:val="20"/>
                <w:szCs w:val="20"/>
                <w:color w:val="auto"/>
              </w:rPr>
            </w:pPr>
            <w:r>
              <w:rPr>
                <w:rFonts w:ascii="Calibri" w:cs="Calibri" w:eastAsia="Calibri" w:hAnsi="Calibri"/>
                <w:sz w:val="20"/>
                <w:szCs w:val="20"/>
                <w:color w:val="auto"/>
              </w:rPr>
              <w:t>28,714</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w:t>
            </w:r>
          </w:p>
        </w:tc>
        <w:tc>
          <w:tcPr>
            <w:tcW w:w="1420" w:type="dxa"/>
            <w:vAlign w:val="bottom"/>
            <w:tcBorders>
              <w:bottom w:val="single" w:sz="8" w:color="CCEEFF"/>
            </w:tcBorders>
            <w:shd w:val="clear" w:color="auto" w:fill="CCEEFF"/>
          </w:tcPr>
          <w:p>
            <w:pPr>
              <w:jc w:val="right"/>
              <w:ind w:right="102"/>
              <w:spacing w:after="0" w:line="234" w:lineRule="exact"/>
              <w:rPr>
                <w:sz w:val="20"/>
                <w:szCs w:val="20"/>
                <w:color w:val="auto"/>
              </w:rPr>
            </w:pPr>
            <w:r>
              <w:rPr>
                <w:rFonts w:ascii="Calibri" w:cs="Calibri" w:eastAsia="Calibri" w:hAnsi="Calibri"/>
                <w:sz w:val="20"/>
                <w:szCs w:val="20"/>
                <w:color w:val="auto"/>
              </w:rPr>
              <w:t>23,922</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60"/>
              <w:spacing w:after="0" w:line="234" w:lineRule="exact"/>
              <w:rPr>
                <w:sz w:val="20"/>
                <w:szCs w:val="20"/>
                <w:color w:val="auto"/>
              </w:rPr>
            </w:pPr>
            <w:r>
              <w:rPr>
                <w:rFonts w:ascii="Calibri" w:cs="Calibri" w:eastAsia="Calibri" w:hAnsi="Calibri"/>
                <w:sz w:val="20"/>
                <w:szCs w:val="20"/>
                <w:color w:val="auto"/>
                <w:w w:val="98"/>
              </w:rPr>
              <w:t>$</w:t>
            </w:r>
          </w:p>
        </w:tc>
        <w:tc>
          <w:tcPr>
            <w:tcW w:w="1400" w:type="dxa"/>
            <w:vAlign w:val="bottom"/>
            <w:tcBorders>
              <w:bottom w:val="single" w:sz="8" w:color="CCEEFF"/>
            </w:tcBorders>
            <w:shd w:val="clear" w:color="auto" w:fill="CCEEFF"/>
          </w:tcPr>
          <w:p>
            <w:pPr>
              <w:jc w:val="right"/>
              <w:ind w:right="101"/>
              <w:spacing w:after="0" w:line="234" w:lineRule="exact"/>
              <w:rPr>
                <w:sz w:val="20"/>
                <w:szCs w:val="20"/>
                <w:color w:val="auto"/>
              </w:rPr>
            </w:pPr>
            <w:r>
              <w:rPr>
                <w:rFonts w:ascii="Calibri" w:cs="Calibri" w:eastAsia="Calibri" w:hAnsi="Calibri"/>
                <w:sz w:val="20"/>
                <w:szCs w:val="20"/>
                <w:color w:val="auto"/>
              </w:rPr>
              <w:t>63,218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ind w:left="40"/>
              <w:spacing w:after="0" w:line="234" w:lineRule="exact"/>
              <w:rPr>
                <w:sz w:val="20"/>
                <w:szCs w:val="20"/>
                <w:color w:val="auto"/>
              </w:rPr>
            </w:pPr>
            <w:r>
              <w:rPr>
                <w:rFonts w:ascii="Calibri" w:cs="Calibri" w:eastAsia="Calibri" w:hAnsi="Calibri"/>
                <w:sz w:val="20"/>
                <w:szCs w:val="20"/>
                <w:color w:val="auto"/>
              </w:rPr>
              <w:t>$</w:t>
            </w:r>
          </w:p>
        </w:tc>
        <w:tc>
          <w:tcPr>
            <w:tcW w:w="140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rPr>
              <w:t>52,324</w:t>
            </w:r>
          </w:p>
        </w:tc>
      </w:tr>
      <w:tr>
        <w:trPr>
          <w:trHeight w:val="234"/>
        </w:trPr>
        <w:tc>
          <w:tcPr>
            <w:tcW w:w="4660" w:type="dxa"/>
            <w:vAlign w:val="bottom"/>
            <w:gridSpan w:val="3"/>
          </w:tcPr>
          <w:p>
            <w:pPr>
              <w:ind w:left="20"/>
              <w:spacing w:after="0" w:line="234" w:lineRule="exact"/>
              <w:rPr>
                <w:sz w:val="20"/>
                <w:szCs w:val="20"/>
                <w:color w:val="auto"/>
              </w:rPr>
            </w:pPr>
            <w:r>
              <w:rPr>
                <w:rFonts w:ascii="Calibri" w:cs="Calibri" w:eastAsia="Calibri" w:hAnsi="Calibri"/>
                <w:sz w:val="20"/>
                <w:szCs w:val="20"/>
                <w:b w:val="1"/>
                <w:bCs w:val="1"/>
                <w:color w:val="auto"/>
              </w:rPr>
              <w:t>Net (Loss) Income % of Net Revenue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
              <w:spacing w:after="0" w:line="234" w:lineRule="exact"/>
              <w:rPr>
                <w:sz w:val="20"/>
                <w:szCs w:val="20"/>
                <w:color w:val="auto"/>
              </w:rPr>
            </w:pPr>
            <w:r>
              <w:rPr>
                <w:rFonts w:ascii="Calibri" w:cs="Calibri" w:eastAsia="Calibri" w:hAnsi="Calibri"/>
                <w:sz w:val="20"/>
                <w:szCs w:val="20"/>
                <w:color w:val="auto"/>
              </w:rPr>
              <w:t>(1.4)%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
              <w:spacing w:after="0" w:line="234" w:lineRule="exact"/>
              <w:rPr>
                <w:sz w:val="20"/>
                <w:szCs w:val="20"/>
                <w:color w:val="auto"/>
              </w:rPr>
            </w:pPr>
            <w:r>
              <w:rPr>
                <w:rFonts w:ascii="Calibri" w:cs="Calibri" w:eastAsia="Calibri" w:hAnsi="Calibri"/>
                <w:sz w:val="20"/>
                <w:szCs w:val="20"/>
                <w:color w:val="auto"/>
              </w:rPr>
              <w:t>(6.1)%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line="234" w:lineRule="exact"/>
              <w:rPr>
                <w:sz w:val="20"/>
                <w:szCs w:val="20"/>
                <w:color w:val="auto"/>
              </w:rPr>
            </w:pPr>
            <w:r>
              <w:rPr>
                <w:rFonts w:ascii="Calibri" w:cs="Calibri" w:eastAsia="Calibri" w:hAnsi="Calibri"/>
                <w:sz w:val="20"/>
                <w:szCs w:val="20"/>
                <w:color w:val="auto"/>
              </w:rPr>
              <w:t>7.8 %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line="234" w:lineRule="exact"/>
              <w:rPr>
                <w:sz w:val="20"/>
                <w:szCs w:val="20"/>
                <w:color w:val="auto"/>
              </w:rPr>
            </w:pPr>
            <w:r>
              <w:rPr>
                <w:rFonts w:ascii="Calibri" w:cs="Calibri" w:eastAsia="Calibri" w:hAnsi="Calibri"/>
                <w:sz w:val="20"/>
                <w:szCs w:val="20"/>
                <w:color w:val="auto"/>
              </w:rPr>
              <w:t>(1.3)%</w:t>
            </w:r>
          </w:p>
        </w:tc>
      </w:tr>
      <w:tr>
        <w:trPr>
          <w:trHeight w:val="22"/>
        </w:trPr>
        <w:tc>
          <w:tcPr>
            <w:tcW w:w="4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4"/>
        </w:trPr>
        <w:tc>
          <w:tcPr>
            <w:tcW w:w="4660" w:type="dxa"/>
            <w:vAlign w:val="bottom"/>
            <w:gridSpan w:val="3"/>
            <w:shd w:val="clear" w:color="auto" w:fill="CCEEFF"/>
          </w:tcPr>
          <w:p>
            <w:pPr>
              <w:ind w:left="20"/>
              <w:spacing w:after="0" w:line="234" w:lineRule="exact"/>
              <w:rPr>
                <w:sz w:val="20"/>
                <w:szCs w:val="20"/>
                <w:color w:val="auto"/>
              </w:rPr>
            </w:pPr>
            <w:r>
              <w:rPr>
                <w:rFonts w:ascii="Calibri" w:cs="Calibri" w:eastAsia="Calibri" w:hAnsi="Calibri"/>
                <w:sz w:val="20"/>
                <w:szCs w:val="20"/>
                <w:b w:val="1"/>
                <w:bCs w:val="1"/>
                <w:color w:val="auto"/>
              </w:rPr>
              <w:t>Adjusted EBITDA Margin</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line="234" w:lineRule="exact"/>
              <w:rPr>
                <w:sz w:val="20"/>
                <w:szCs w:val="20"/>
                <w:color w:val="auto"/>
              </w:rPr>
            </w:pPr>
            <w:r>
              <w:rPr>
                <w:rFonts w:ascii="Calibri" w:cs="Calibri" w:eastAsia="Calibri" w:hAnsi="Calibri"/>
                <w:sz w:val="20"/>
                <w:szCs w:val="20"/>
                <w:color w:val="auto"/>
              </w:rPr>
              <w:t>19.8 %</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line="234" w:lineRule="exact"/>
              <w:rPr>
                <w:sz w:val="20"/>
                <w:szCs w:val="20"/>
                <w:color w:val="auto"/>
              </w:rPr>
            </w:pPr>
            <w:r>
              <w:rPr>
                <w:rFonts w:ascii="Calibri" w:cs="Calibri" w:eastAsia="Calibri" w:hAnsi="Calibri"/>
                <w:sz w:val="20"/>
                <w:szCs w:val="20"/>
                <w:color w:val="auto"/>
              </w:rPr>
              <w:t>16.1 %</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24.9 %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24.3 %</w:t>
            </w:r>
          </w:p>
        </w:tc>
      </w:tr>
      <w:tr>
        <w:trPr>
          <w:trHeight w:val="22"/>
        </w:trPr>
        <w:tc>
          <w:tcPr>
            <w:tcW w:w="4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240"/>
          </w:cols>
          <w:pgMar w:left="320" w:top="92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8"/>
        </w:trPr>
        <w:tc>
          <w:tcPr>
            <w:tcW w:w="4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gridSpan w:val="5"/>
          </w:tcPr>
          <w:p>
            <w:pPr>
              <w:ind w:left="860"/>
              <w:spacing w:after="0"/>
              <w:rPr>
                <w:sz w:val="20"/>
                <w:szCs w:val="20"/>
                <w:color w:val="auto"/>
              </w:rPr>
            </w:pPr>
            <w:r>
              <w:rPr>
                <w:rFonts w:ascii="Calibri" w:cs="Calibri" w:eastAsia="Calibri" w:hAnsi="Calibri"/>
                <w:sz w:val="20"/>
                <w:szCs w:val="20"/>
                <w:b w:val="1"/>
                <w:bCs w:val="1"/>
                <w:color w:val="auto"/>
              </w:rPr>
              <w:t>Central costs</w:t>
            </w:r>
          </w:p>
        </w:tc>
        <w:tc>
          <w:tcPr>
            <w:tcW w:w="2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2"/>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72" w:lineRule="exact"/>
              <w:rPr>
                <w:sz w:val="20"/>
                <w:szCs w:val="20"/>
                <w:color w:val="auto"/>
              </w:rPr>
            </w:pPr>
            <w:r>
              <w:rPr>
                <w:rFonts w:ascii="Calibri" w:cs="Calibri" w:eastAsia="Calibri" w:hAnsi="Calibri"/>
                <w:sz w:val="18"/>
                <w:szCs w:val="18"/>
                <w:b w:val="1"/>
                <w:bCs w:val="1"/>
                <w:color w:val="auto"/>
              </w:rPr>
              <w:t>Three Months</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72" w:lineRule="exact"/>
              <w:rPr>
                <w:sz w:val="20"/>
                <w:szCs w:val="20"/>
                <w:color w:val="auto"/>
              </w:rPr>
            </w:pPr>
            <w:r>
              <w:rPr>
                <w:rFonts w:ascii="Calibri" w:cs="Calibri" w:eastAsia="Calibri" w:hAnsi="Calibri"/>
                <w:sz w:val="18"/>
                <w:szCs w:val="18"/>
                <w:b w:val="1"/>
                <w:bCs w:val="1"/>
                <w:color w:val="auto"/>
              </w:rPr>
              <w:t>Three Months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line="172" w:lineRule="exact"/>
              <w:rPr>
                <w:sz w:val="20"/>
                <w:szCs w:val="20"/>
                <w:color w:val="auto"/>
              </w:rPr>
            </w:pPr>
            <w:r>
              <w:rPr>
                <w:rFonts w:ascii="Calibri" w:cs="Calibri" w:eastAsia="Calibri" w:hAnsi="Calibri"/>
                <w:sz w:val="18"/>
                <w:szCs w:val="18"/>
                <w:b w:val="1"/>
                <w:bCs w:val="1"/>
                <w:color w:val="auto"/>
              </w:rPr>
              <w:t>Six months</w:t>
            </w:r>
          </w:p>
        </w:tc>
        <w:tc>
          <w:tcPr>
            <w:tcW w:w="200" w:type="dxa"/>
            <w:vAlign w:val="bottom"/>
          </w:tcPr>
          <w:p>
            <w:pPr>
              <w:spacing w:after="0"/>
              <w:rPr>
                <w:sz w:val="14"/>
                <w:szCs w:val="14"/>
                <w:color w:val="auto"/>
              </w:rPr>
            </w:pPr>
          </w:p>
        </w:tc>
        <w:tc>
          <w:tcPr>
            <w:tcW w:w="1280" w:type="dxa"/>
            <w:vAlign w:val="bottom"/>
          </w:tcPr>
          <w:p>
            <w:pPr>
              <w:jc w:val="center"/>
              <w:ind w:right="102"/>
              <w:spacing w:after="0" w:line="172" w:lineRule="exact"/>
              <w:rPr>
                <w:sz w:val="20"/>
                <w:szCs w:val="20"/>
                <w:color w:val="auto"/>
              </w:rPr>
            </w:pPr>
            <w:r>
              <w:rPr>
                <w:rFonts w:ascii="Calibri" w:cs="Calibri" w:eastAsia="Calibri" w:hAnsi="Calibri"/>
                <w:sz w:val="18"/>
                <w:szCs w:val="18"/>
                <w:b w:val="1"/>
                <w:bCs w:val="1"/>
                <w:color w:val="auto"/>
              </w:rPr>
              <w:t>Six months</w:t>
            </w:r>
          </w:p>
        </w:tc>
      </w:tr>
      <w:tr>
        <w:trPr>
          <w:trHeight w:val="189"/>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20"/>
              <w:spacing w:after="0" w:line="189" w:lineRule="exact"/>
              <w:rPr>
                <w:sz w:val="20"/>
                <w:szCs w:val="20"/>
                <w:color w:val="auto"/>
              </w:rPr>
            </w:pPr>
            <w:r>
              <w:rPr>
                <w:rFonts w:ascii="Calibri" w:cs="Calibri" w:eastAsia="Calibri" w:hAnsi="Calibri"/>
                <w:sz w:val="20"/>
                <w:szCs w:val="20"/>
                <w:b w:val="1"/>
                <w:bCs w:val="1"/>
                <w:color w:val="auto"/>
              </w:rPr>
              <w:t>Ended June 30,</w:t>
            </w:r>
          </w:p>
        </w:tc>
        <w:tc>
          <w:tcPr>
            <w:tcW w:w="1580" w:type="dxa"/>
            <w:vAlign w:val="bottom"/>
            <w:gridSpan w:val="3"/>
          </w:tcPr>
          <w:p>
            <w:pPr>
              <w:jc w:val="center"/>
              <w:ind w:right="120"/>
              <w:spacing w:after="0" w:line="189" w:lineRule="exact"/>
              <w:rPr>
                <w:sz w:val="20"/>
                <w:szCs w:val="20"/>
                <w:color w:val="auto"/>
              </w:rPr>
            </w:pPr>
            <w:r>
              <w:rPr>
                <w:rFonts w:ascii="Calibri" w:cs="Calibri" w:eastAsia="Calibri" w:hAnsi="Calibri"/>
                <w:sz w:val="20"/>
                <w:szCs w:val="20"/>
                <w:b w:val="1"/>
                <w:bCs w:val="1"/>
                <w:color w:val="auto"/>
              </w:rPr>
              <w:t>Ended June 30,</w:t>
            </w:r>
          </w:p>
        </w:tc>
        <w:tc>
          <w:tcPr>
            <w:tcW w:w="1580" w:type="dxa"/>
            <w:vAlign w:val="bottom"/>
            <w:gridSpan w:val="3"/>
          </w:tcPr>
          <w:p>
            <w:pPr>
              <w:jc w:val="center"/>
              <w:ind w:right="120"/>
              <w:spacing w:after="0" w:line="189" w:lineRule="exact"/>
              <w:rPr>
                <w:sz w:val="20"/>
                <w:szCs w:val="20"/>
                <w:color w:val="auto"/>
              </w:rPr>
            </w:pPr>
            <w:r>
              <w:rPr>
                <w:rFonts w:ascii="Calibri" w:cs="Calibri" w:eastAsia="Calibri" w:hAnsi="Calibri"/>
                <w:sz w:val="20"/>
                <w:szCs w:val="20"/>
                <w:b w:val="1"/>
                <w:bCs w:val="1"/>
                <w:color w:val="auto"/>
              </w:rPr>
              <w:t>ended June 30,</w:t>
            </w:r>
          </w:p>
        </w:tc>
        <w:tc>
          <w:tcPr>
            <w:tcW w:w="1480" w:type="dxa"/>
            <w:vAlign w:val="bottom"/>
            <w:gridSpan w:val="2"/>
          </w:tcPr>
          <w:p>
            <w:pPr>
              <w:jc w:val="center"/>
              <w:spacing w:after="0" w:line="189" w:lineRule="exact"/>
              <w:rPr>
                <w:sz w:val="20"/>
                <w:szCs w:val="20"/>
                <w:color w:val="auto"/>
              </w:rPr>
            </w:pPr>
            <w:r>
              <w:rPr>
                <w:rFonts w:ascii="Calibri" w:cs="Calibri" w:eastAsia="Calibri" w:hAnsi="Calibri"/>
                <w:sz w:val="20"/>
                <w:szCs w:val="20"/>
                <w:b w:val="1"/>
                <w:bCs w:val="1"/>
                <w:color w:val="auto"/>
              </w:rPr>
              <w:t>ended June 30,</w:t>
            </w:r>
          </w:p>
        </w:tc>
      </w:tr>
      <w:tr>
        <w:trPr>
          <w:trHeight w:val="253"/>
        </w:trPr>
        <w:tc>
          <w:tcPr>
            <w:tcW w:w="5020" w:type="dxa"/>
            <w:vAlign w:val="bottom"/>
            <w:gridSpan w:val="2"/>
          </w:tcPr>
          <w:p>
            <w:pPr>
              <w:ind w:left="20"/>
              <w:spacing w:after="0"/>
              <w:rPr>
                <w:sz w:val="20"/>
                <w:szCs w:val="20"/>
                <w:color w:val="auto"/>
              </w:rPr>
            </w:pPr>
            <w:r>
              <w:rPr>
                <w:rFonts w:ascii="Calibri" w:cs="Calibri" w:eastAsia="Calibri" w:hAnsi="Calibri"/>
                <w:sz w:val="16"/>
                <w:szCs w:val="16"/>
                <w:i w:val="1"/>
                <w:iCs w:val="1"/>
                <w:color w:val="auto"/>
              </w:rPr>
              <w:t>(In thousands, except for percentages)</w:t>
            </w:r>
          </w:p>
        </w:tc>
        <w:tc>
          <w:tcPr>
            <w:tcW w:w="140" w:type="dxa"/>
            <w:vAlign w:val="bottom"/>
          </w:tcPr>
          <w:p>
            <w:pPr>
              <w:spacing w:after="0"/>
              <w:rPr>
                <w:sz w:val="22"/>
                <w:szCs w:val="22"/>
                <w:color w:val="auto"/>
              </w:rPr>
            </w:pPr>
          </w:p>
        </w:tc>
        <w:tc>
          <w:tcPr>
            <w:tcW w:w="1340" w:type="dxa"/>
            <w:vAlign w:val="bottom"/>
          </w:tcPr>
          <w:p>
            <w:pPr>
              <w:jc w:val="center"/>
              <w:ind w:right="42"/>
              <w:spacing w:after="0" w:line="234" w:lineRule="exact"/>
              <w:rPr>
                <w:sz w:val="20"/>
                <w:szCs w:val="20"/>
                <w:color w:val="auto"/>
              </w:rPr>
            </w:pPr>
            <w:r>
              <w:rPr>
                <w:rFonts w:ascii="Calibri" w:cs="Calibri" w:eastAsia="Calibri" w:hAnsi="Calibri"/>
                <w:sz w:val="20"/>
                <w:szCs w:val="20"/>
                <w:b w:val="1"/>
                <w:bCs w:val="1"/>
                <w:color w:val="auto"/>
                <w:w w:val="98"/>
              </w:rPr>
              <w:t>2024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42"/>
              <w:spacing w:after="0" w:line="234" w:lineRule="exact"/>
              <w:rPr>
                <w:sz w:val="20"/>
                <w:szCs w:val="20"/>
                <w:color w:val="auto"/>
              </w:rPr>
            </w:pPr>
            <w:r>
              <w:rPr>
                <w:rFonts w:ascii="Calibri" w:cs="Calibri" w:eastAsia="Calibri" w:hAnsi="Calibri"/>
                <w:sz w:val="20"/>
                <w:szCs w:val="20"/>
                <w:b w:val="1"/>
                <w:bCs w:val="1"/>
                <w:color w:val="auto"/>
                <w:w w:val="98"/>
              </w:rPr>
              <w:t>2023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center"/>
              <w:ind w:right="102"/>
              <w:spacing w:after="0" w:line="234" w:lineRule="exact"/>
              <w:rPr>
                <w:sz w:val="20"/>
                <w:szCs w:val="20"/>
                <w:color w:val="auto"/>
              </w:rPr>
            </w:pPr>
            <w:r>
              <w:rPr>
                <w:rFonts w:ascii="Calibri" w:cs="Calibri" w:eastAsia="Calibri" w:hAnsi="Calibri"/>
                <w:sz w:val="20"/>
                <w:szCs w:val="20"/>
                <w:b w:val="1"/>
                <w:bCs w:val="1"/>
                <w:color w:val="auto"/>
                <w:w w:val="98"/>
              </w:rPr>
              <w:t>2024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center"/>
              <w:ind w:right="102"/>
              <w:spacing w:after="0" w:line="234" w:lineRule="exact"/>
              <w:rPr>
                <w:sz w:val="20"/>
                <w:szCs w:val="20"/>
                <w:color w:val="auto"/>
              </w:rPr>
            </w:pPr>
            <w:r>
              <w:rPr>
                <w:rFonts w:ascii="Calibri" w:cs="Calibri" w:eastAsia="Calibri" w:hAnsi="Calibri"/>
                <w:sz w:val="20"/>
                <w:szCs w:val="20"/>
                <w:b w:val="1"/>
                <w:bCs w:val="1"/>
                <w:color w:val="auto"/>
                <w:w w:val="98"/>
              </w:rPr>
              <w:t>2023</w:t>
            </w:r>
          </w:p>
        </w:tc>
      </w:tr>
      <w:tr>
        <w:trPr>
          <w:trHeight w:val="28"/>
        </w:trPr>
        <w:tc>
          <w:tcPr>
            <w:tcW w:w="4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20"/>
              <w:spacing w:after="0" w:line="228" w:lineRule="exact"/>
              <w:rPr>
                <w:sz w:val="20"/>
                <w:szCs w:val="20"/>
                <w:color w:val="auto"/>
              </w:rPr>
            </w:pPr>
            <w:r>
              <w:rPr>
                <w:rFonts w:ascii="Calibri" w:cs="Calibri" w:eastAsia="Calibri" w:hAnsi="Calibri"/>
                <w:sz w:val="20"/>
                <w:szCs w:val="20"/>
                <w:b w:val="1"/>
                <w:bCs w:val="1"/>
                <w:color w:val="auto"/>
              </w:rPr>
              <w:t>Net Loss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3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(2,924)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3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(13,728)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28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(6,397)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28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(23,867)</w:t>
            </w:r>
          </w:p>
        </w:tc>
      </w:tr>
      <w:tr>
        <w:trPr>
          <w:trHeight w:val="234"/>
        </w:trPr>
        <w:tc>
          <w:tcPr>
            <w:tcW w:w="5020" w:type="dxa"/>
            <w:vAlign w:val="bottom"/>
            <w:gridSpan w:val="2"/>
          </w:tcPr>
          <w:p>
            <w:pPr>
              <w:ind w:left="20"/>
              <w:spacing w:after="0" w:line="234" w:lineRule="exact"/>
              <w:rPr>
                <w:sz w:val="20"/>
                <w:szCs w:val="20"/>
                <w:color w:val="auto"/>
              </w:rPr>
            </w:pPr>
            <w:r>
              <w:rPr>
                <w:rFonts w:ascii="Calibri" w:cs="Calibri" w:eastAsia="Calibri" w:hAnsi="Calibri"/>
                <w:sz w:val="20"/>
                <w:szCs w:val="20"/>
                <w:color w:val="auto"/>
              </w:rPr>
              <w:t>Adjusted For:</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5020" w:type="dxa"/>
            <w:vAlign w:val="bottom"/>
            <w:tcBorders>
              <w:bottom w:val="single" w:sz="8" w:color="CCEEFF"/>
            </w:tcBorders>
            <w:gridSpan w:val="2"/>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Interest expense, net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1,224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1,780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2,384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3,209</w:t>
            </w:r>
          </w:p>
        </w:tc>
      </w:tr>
      <w:tr>
        <w:trPr>
          <w:trHeight w:val="234"/>
        </w:trPr>
        <w:tc>
          <w:tcPr>
            <w:tcW w:w="5020" w:type="dxa"/>
            <w:vAlign w:val="bottom"/>
            <w:gridSpan w:val="2"/>
          </w:tcPr>
          <w:p>
            <w:pPr>
              <w:ind w:left="100"/>
              <w:spacing w:after="0" w:line="234" w:lineRule="exact"/>
              <w:rPr>
                <w:sz w:val="20"/>
                <w:szCs w:val="20"/>
                <w:color w:val="auto"/>
              </w:rPr>
            </w:pPr>
            <w:r>
              <w:rPr>
                <w:rFonts w:ascii="Calibri" w:cs="Calibri" w:eastAsia="Calibri" w:hAnsi="Calibri"/>
                <w:sz w:val="20"/>
                <w:szCs w:val="20"/>
                <w:color w:val="auto"/>
              </w:rPr>
              <w:t>Income tax expense</w:t>
            </w:r>
          </w:p>
        </w:tc>
        <w:tc>
          <w:tcPr>
            <w:tcW w:w="140" w:type="dxa"/>
            <w:vAlign w:val="bottom"/>
          </w:tcPr>
          <w:p>
            <w:pPr>
              <w:spacing w:after="0"/>
              <w:rPr>
                <w:sz w:val="20"/>
                <w:szCs w:val="20"/>
                <w:color w:val="auto"/>
              </w:rPr>
            </w:pPr>
          </w:p>
        </w:tc>
        <w:tc>
          <w:tcPr>
            <w:tcW w:w="1340" w:type="dxa"/>
            <w:vAlign w:val="bottom"/>
          </w:tcPr>
          <w:p>
            <w:pPr>
              <w:jc w:val="right"/>
              <w:spacing w:after="0" w:line="234" w:lineRule="exact"/>
              <w:rPr>
                <w:sz w:val="20"/>
                <w:szCs w:val="20"/>
                <w:color w:val="auto"/>
              </w:rPr>
            </w:pPr>
            <w:r>
              <w:rPr>
                <w:rFonts w:ascii="Calibri" w:cs="Calibri" w:eastAsia="Calibri" w:hAnsi="Calibri"/>
                <w:sz w:val="20"/>
                <w:szCs w:val="20"/>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80"/>
              <w:spacing w:after="0" w:line="234" w:lineRule="exact"/>
              <w:rPr>
                <w:sz w:val="20"/>
                <w:szCs w:val="20"/>
                <w:color w:val="auto"/>
              </w:rPr>
            </w:pPr>
            <w:r>
              <w:rPr>
                <w:rFonts w:ascii="Calibri" w:cs="Calibri" w:eastAsia="Calibri" w:hAnsi="Calibri"/>
                <w:sz w:val="20"/>
                <w:szCs w:val="20"/>
                <w:color w:val="auto"/>
              </w:rPr>
              <w:t>—</w:t>
            </w:r>
          </w:p>
        </w:tc>
        <w:tc>
          <w:tcPr>
            <w:tcW w:w="200" w:type="dxa"/>
            <w:vAlign w:val="bottom"/>
          </w:tcPr>
          <w:p>
            <w:pPr>
              <w:spacing w:after="0"/>
              <w:rPr>
                <w:sz w:val="20"/>
                <w:szCs w:val="20"/>
                <w:color w:val="auto"/>
              </w:rPr>
            </w:pPr>
          </w:p>
        </w:tc>
        <w:tc>
          <w:tcPr>
            <w:tcW w:w="1280" w:type="dxa"/>
            <w:vAlign w:val="bottom"/>
          </w:tcPr>
          <w:p>
            <w:pPr>
              <w:jc w:val="right"/>
              <w:spacing w:after="0" w:line="234" w:lineRule="exact"/>
              <w:rPr>
                <w:sz w:val="20"/>
                <w:szCs w:val="20"/>
                <w:color w:val="auto"/>
              </w:rPr>
            </w:pPr>
            <w:r>
              <w:rPr>
                <w:rFonts w:ascii="Calibri" w:cs="Calibri" w:eastAsia="Calibri" w:hAnsi="Calibri"/>
                <w:sz w:val="20"/>
                <w:szCs w:val="20"/>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r>
      <w:tr>
        <w:trPr>
          <w:trHeight w:val="22"/>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5020" w:type="dxa"/>
            <w:vAlign w:val="bottom"/>
            <w:tcBorders>
              <w:bottom w:val="single" w:sz="8" w:color="CCEEFF"/>
            </w:tcBorders>
            <w:gridSpan w:val="2"/>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Stock-based compensaton expense</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2,481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1,226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3,962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3,058</w:t>
            </w:r>
          </w:p>
        </w:tc>
      </w:tr>
      <w:tr>
        <w:trPr>
          <w:trHeight w:val="234"/>
        </w:trPr>
        <w:tc>
          <w:tcPr>
            <w:tcW w:w="5020" w:type="dxa"/>
            <w:vAlign w:val="bottom"/>
            <w:gridSpan w:val="2"/>
          </w:tcPr>
          <w:p>
            <w:pPr>
              <w:ind w:left="100"/>
              <w:spacing w:after="0" w:line="234" w:lineRule="exact"/>
              <w:rPr>
                <w:sz w:val="20"/>
                <w:szCs w:val="20"/>
                <w:color w:val="auto"/>
              </w:rPr>
            </w:pPr>
            <w:r>
              <w:rPr>
                <w:rFonts w:ascii="Calibri" w:cs="Calibri" w:eastAsia="Calibri" w:hAnsi="Calibri"/>
                <w:sz w:val="20"/>
                <w:szCs w:val="20"/>
                <w:color w:val="auto"/>
              </w:rPr>
              <w:t>Legal and advisory non-recurring costs</w:t>
            </w:r>
          </w:p>
        </w:tc>
        <w:tc>
          <w:tcPr>
            <w:tcW w:w="140" w:type="dxa"/>
            <w:vAlign w:val="bottom"/>
          </w:tcPr>
          <w:p>
            <w:pPr>
              <w:spacing w:after="0"/>
              <w:rPr>
                <w:sz w:val="20"/>
                <w:szCs w:val="20"/>
                <w:color w:val="auto"/>
              </w:rPr>
            </w:pPr>
          </w:p>
        </w:tc>
        <w:tc>
          <w:tcPr>
            <w:tcW w:w="1340" w:type="dxa"/>
            <w:vAlign w:val="bottom"/>
          </w:tcPr>
          <w:p>
            <w:pPr>
              <w:jc w:val="right"/>
              <w:spacing w:after="0" w:line="234" w:lineRule="exact"/>
              <w:rPr>
                <w:sz w:val="20"/>
                <w:szCs w:val="20"/>
                <w:color w:val="auto"/>
              </w:rPr>
            </w:pPr>
            <w:r>
              <w:rPr>
                <w:rFonts w:ascii="Calibri" w:cs="Calibri" w:eastAsia="Calibri" w:hAnsi="Calibri"/>
                <w:sz w:val="20"/>
                <w:szCs w:val="20"/>
                <w:color w:val="auto"/>
              </w:rPr>
              <w:t>2,226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line="234" w:lineRule="exact"/>
              <w:rPr>
                <w:sz w:val="20"/>
                <w:szCs w:val="20"/>
                <w:color w:val="auto"/>
              </w:rPr>
            </w:pPr>
            <w:r>
              <w:rPr>
                <w:rFonts w:ascii="Calibri" w:cs="Calibri" w:eastAsia="Calibri" w:hAnsi="Calibri"/>
                <w:sz w:val="20"/>
                <w:szCs w:val="20"/>
                <w:color w:val="auto"/>
              </w:rPr>
              <w:t>7,727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line="234" w:lineRule="exact"/>
              <w:rPr>
                <w:sz w:val="20"/>
                <w:szCs w:val="20"/>
                <w:color w:val="auto"/>
              </w:rPr>
            </w:pPr>
            <w:r>
              <w:rPr>
                <w:rFonts w:ascii="Calibri" w:cs="Calibri" w:eastAsia="Calibri" w:hAnsi="Calibri"/>
                <w:sz w:val="20"/>
                <w:szCs w:val="20"/>
                <w:color w:val="auto"/>
              </w:rPr>
              <w:t>9,684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line="234" w:lineRule="exact"/>
              <w:rPr>
                <w:sz w:val="20"/>
                <w:szCs w:val="20"/>
                <w:color w:val="auto"/>
              </w:rPr>
            </w:pPr>
            <w:r>
              <w:rPr>
                <w:rFonts w:ascii="Calibri" w:cs="Calibri" w:eastAsia="Calibri" w:hAnsi="Calibri"/>
                <w:sz w:val="20"/>
                <w:szCs w:val="20"/>
                <w:color w:val="auto"/>
              </w:rPr>
              <w:t>10,624</w:t>
            </w:r>
          </w:p>
        </w:tc>
      </w:tr>
      <w:tr>
        <w:trPr>
          <w:trHeight w:val="22"/>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5020" w:type="dxa"/>
            <w:vAlign w:val="bottom"/>
            <w:tcBorders>
              <w:bottom w:val="single" w:sz="8" w:color="CCEEFF"/>
            </w:tcBorders>
            <w:gridSpan w:val="2"/>
            <w:shd w:val="clear" w:color="auto" w:fill="CCEEFF"/>
          </w:tcPr>
          <w:p>
            <w:pPr>
              <w:ind w:left="100"/>
              <w:spacing w:after="0" w:line="234" w:lineRule="exact"/>
              <w:rPr>
                <w:sz w:val="20"/>
                <w:szCs w:val="20"/>
                <w:color w:val="auto"/>
              </w:rPr>
            </w:pPr>
            <w:r>
              <w:rPr>
                <w:rFonts w:ascii="Calibri" w:cs="Calibri" w:eastAsia="Calibri" w:hAnsi="Calibri"/>
                <w:sz w:val="20"/>
                <w:szCs w:val="20"/>
                <w:color w:val="auto"/>
              </w:rPr>
              <w:t>Change in fair value of warrants and interest rate collar</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(8,572)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(1,137)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(20,732)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(1,467)</w:t>
            </w:r>
          </w:p>
        </w:tc>
      </w:tr>
      <w:tr>
        <w:trPr>
          <w:trHeight w:val="234"/>
        </w:trPr>
        <w:tc>
          <w:tcPr>
            <w:tcW w:w="5020" w:type="dxa"/>
            <w:vAlign w:val="bottom"/>
            <w:gridSpan w:val="2"/>
          </w:tcPr>
          <w:p>
            <w:pPr>
              <w:ind w:left="100"/>
              <w:spacing w:after="0" w:line="234" w:lineRule="exact"/>
              <w:rPr>
                <w:sz w:val="20"/>
                <w:szCs w:val="20"/>
                <w:color w:val="auto"/>
              </w:rPr>
            </w:pPr>
            <w:r>
              <w:rPr>
                <w:rFonts w:ascii="Calibri" w:cs="Calibri" w:eastAsia="Calibri" w:hAnsi="Calibri"/>
                <w:sz w:val="20"/>
                <w:szCs w:val="20"/>
                <w:color w:val="auto"/>
              </w:rPr>
              <w:t>Other costs</w:t>
            </w:r>
          </w:p>
        </w:tc>
        <w:tc>
          <w:tcPr>
            <w:tcW w:w="140" w:type="dxa"/>
            <w:vAlign w:val="bottom"/>
          </w:tcPr>
          <w:p>
            <w:pPr>
              <w:spacing w:after="0"/>
              <w:rPr>
                <w:sz w:val="20"/>
                <w:szCs w:val="20"/>
                <w:color w:val="auto"/>
              </w:rPr>
            </w:pPr>
          </w:p>
        </w:tc>
        <w:tc>
          <w:tcPr>
            <w:tcW w:w="1340" w:type="dxa"/>
            <w:vAlign w:val="bottom"/>
          </w:tcPr>
          <w:p>
            <w:pPr>
              <w:jc w:val="right"/>
              <w:spacing w:after="0" w:line="234" w:lineRule="exact"/>
              <w:rPr>
                <w:sz w:val="20"/>
                <w:szCs w:val="20"/>
                <w:color w:val="auto"/>
              </w:rPr>
            </w:pPr>
            <w:r>
              <w:rPr>
                <w:rFonts w:ascii="Calibri" w:cs="Calibri" w:eastAsia="Calibri" w:hAnsi="Calibri"/>
                <w:sz w:val="20"/>
                <w:szCs w:val="20"/>
                <w:color w:val="auto"/>
              </w:rPr>
              <w:t>(251)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line="234" w:lineRule="exact"/>
              <w:rPr>
                <w:sz w:val="20"/>
                <w:szCs w:val="20"/>
                <w:color w:val="auto"/>
              </w:rPr>
            </w:pPr>
            <w:r>
              <w:rPr>
                <w:rFonts w:ascii="Calibri" w:cs="Calibri" w:eastAsia="Calibri" w:hAnsi="Calibri"/>
                <w:sz w:val="20"/>
                <w:szCs w:val="20"/>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line="234" w:lineRule="exact"/>
              <w:rPr>
                <w:sz w:val="20"/>
                <w:szCs w:val="20"/>
                <w:color w:val="auto"/>
              </w:rPr>
            </w:pPr>
            <w:r>
              <w:rPr>
                <w:rFonts w:ascii="Calibri" w:cs="Calibri" w:eastAsia="Calibri" w:hAnsi="Calibri"/>
                <w:sz w:val="20"/>
                <w:szCs w:val="20"/>
                <w:color w:val="auto"/>
              </w:rPr>
              <w:t>(139)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line="234" w:lineRule="exact"/>
              <w:rPr>
                <w:sz w:val="20"/>
                <w:szCs w:val="20"/>
                <w:color w:val="auto"/>
              </w:rPr>
            </w:pPr>
            <w:r>
              <w:rPr>
                <w:rFonts w:ascii="Calibri" w:cs="Calibri" w:eastAsia="Calibri" w:hAnsi="Calibri"/>
                <w:sz w:val="20"/>
                <w:szCs w:val="20"/>
                <w:color w:val="auto"/>
              </w:rPr>
              <w:t>(17)</w:t>
            </w:r>
          </w:p>
        </w:tc>
      </w:tr>
      <w:tr>
        <w:trPr>
          <w:trHeight w:val="22"/>
        </w:trPr>
        <w:tc>
          <w:tcPr>
            <w:tcW w:w="4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5020" w:type="dxa"/>
            <w:vAlign w:val="bottom"/>
            <w:tcBorders>
              <w:bottom w:val="single" w:sz="8" w:color="CCEEFF"/>
            </w:tcBorders>
            <w:gridSpan w:val="2"/>
            <w:shd w:val="clear" w:color="auto" w:fill="CCEEFF"/>
          </w:tcPr>
          <w:p>
            <w:pPr>
              <w:ind w:left="20"/>
              <w:spacing w:after="0" w:line="214" w:lineRule="exact"/>
              <w:rPr>
                <w:sz w:val="20"/>
                <w:szCs w:val="20"/>
                <w:color w:val="auto"/>
              </w:rPr>
            </w:pPr>
            <w:r>
              <w:rPr>
                <w:rFonts w:ascii="Calibri" w:cs="Calibri" w:eastAsia="Calibri" w:hAnsi="Calibri"/>
                <w:sz w:val="20"/>
                <w:szCs w:val="20"/>
                <w:b w:val="1"/>
                <w:bCs w:val="1"/>
                <w:color w:val="auto"/>
              </w:rPr>
              <w:t>Adjusted EBITDA</w:t>
            </w:r>
          </w:p>
        </w:tc>
        <w:tc>
          <w:tcPr>
            <w:tcW w:w="1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3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(5,814)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34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(4,149)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28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(11,234)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98"/>
              </w:rPr>
              <w:t>$</w:t>
            </w:r>
          </w:p>
        </w:tc>
        <w:tc>
          <w:tcPr>
            <w:tcW w:w="1280" w:type="dxa"/>
            <w:vAlign w:val="bottom"/>
            <w:tcBorders>
              <w:bottom w:val="single" w:sz="8" w:color="CCEEFF"/>
            </w:tcBorders>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(8,460)</w:t>
            </w:r>
          </w:p>
        </w:tc>
      </w:tr>
      <w:tr>
        <w:trPr>
          <w:trHeight w:val="234"/>
        </w:trPr>
        <w:tc>
          <w:tcPr>
            <w:tcW w:w="5020" w:type="dxa"/>
            <w:vAlign w:val="bottom"/>
            <w:gridSpan w:val="2"/>
          </w:tcPr>
          <w:p>
            <w:pPr>
              <w:ind w:left="20"/>
              <w:spacing w:after="0" w:line="234" w:lineRule="exact"/>
              <w:rPr>
                <w:sz w:val="20"/>
                <w:szCs w:val="20"/>
                <w:color w:val="auto"/>
              </w:rPr>
            </w:pPr>
            <w:r>
              <w:rPr>
                <w:rFonts w:ascii="Calibri" w:cs="Calibri" w:eastAsia="Calibri" w:hAnsi="Calibri"/>
                <w:sz w:val="20"/>
                <w:szCs w:val="20"/>
                <w:b w:val="1"/>
                <w:bCs w:val="1"/>
                <w:color w:val="auto"/>
              </w:rPr>
              <w:t>Net Revenue</w:t>
            </w:r>
          </w:p>
        </w:tc>
        <w:tc>
          <w:tcPr>
            <w:tcW w:w="14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440" w:type="dxa"/>
            <w:vAlign w:val="bottom"/>
            <w:gridSpan w:val="2"/>
          </w:tcPr>
          <w:p>
            <w:pPr>
              <w:jc w:val="right"/>
              <w:ind w:right="180"/>
              <w:spacing w:after="0" w:line="234" w:lineRule="exact"/>
              <w:rPr>
                <w:sz w:val="20"/>
                <w:szCs w:val="20"/>
                <w:color w:val="auto"/>
              </w:rPr>
            </w:pPr>
            <w:r>
              <w:rPr>
                <w:rFonts w:ascii="Calibri" w:cs="Calibri" w:eastAsia="Calibri" w:hAnsi="Calibri"/>
                <w:sz w:val="20"/>
                <w:szCs w:val="20"/>
                <w:color w:val="auto"/>
              </w:rPr>
              <w:t>—</w:t>
            </w:r>
          </w:p>
        </w:tc>
        <w:tc>
          <w:tcPr>
            <w:tcW w:w="14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440" w:type="dxa"/>
            <w:vAlign w:val="bottom"/>
            <w:gridSpan w:val="2"/>
          </w:tcPr>
          <w:p>
            <w:pPr>
              <w:jc w:val="right"/>
              <w:ind w:right="180"/>
              <w:spacing w:after="0" w:line="234" w:lineRule="exact"/>
              <w:rPr>
                <w:sz w:val="20"/>
                <w:szCs w:val="20"/>
                <w:color w:val="auto"/>
              </w:rPr>
            </w:pPr>
            <w:r>
              <w:rPr>
                <w:rFonts w:ascii="Calibri" w:cs="Calibri" w:eastAsia="Calibri" w:hAnsi="Calibri"/>
                <w:sz w:val="20"/>
                <w:szCs w:val="20"/>
                <w:color w:val="auto"/>
              </w:rPr>
              <w:t>—</w:t>
            </w:r>
          </w:p>
        </w:tc>
        <w:tc>
          <w:tcPr>
            <w:tcW w:w="20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380" w:type="dxa"/>
            <w:vAlign w:val="bottom"/>
            <w:gridSpan w:val="2"/>
          </w:tcPr>
          <w:p>
            <w:pPr>
              <w:jc w:val="right"/>
              <w:ind w:right="180"/>
              <w:spacing w:after="0" w:line="234" w:lineRule="exact"/>
              <w:rPr>
                <w:sz w:val="20"/>
                <w:szCs w:val="20"/>
                <w:color w:val="auto"/>
              </w:rPr>
            </w:pPr>
            <w:r>
              <w:rPr>
                <w:rFonts w:ascii="Calibri" w:cs="Calibri" w:eastAsia="Calibri" w:hAnsi="Calibri"/>
                <w:sz w:val="20"/>
                <w:szCs w:val="20"/>
                <w:color w:val="auto"/>
              </w:rPr>
              <w:t>—</w:t>
            </w:r>
          </w:p>
        </w:tc>
        <w:tc>
          <w:tcPr>
            <w:tcW w:w="200" w:type="dxa"/>
            <w:vAlign w:val="bottom"/>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2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r>
      <w:tr>
        <w:trPr>
          <w:trHeight w:val="22"/>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5020" w:type="dxa"/>
            <w:vAlign w:val="bottom"/>
            <w:tcBorders>
              <w:bottom w:val="single" w:sz="8" w:color="CCEEFF"/>
            </w:tcBorders>
            <w:gridSpan w:val="2"/>
            <w:shd w:val="clear" w:color="auto" w:fill="CCEEFF"/>
          </w:tcPr>
          <w:p>
            <w:pPr>
              <w:ind w:left="20"/>
              <w:spacing w:after="0" w:line="234" w:lineRule="exact"/>
              <w:rPr>
                <w:sz w:val="20"/>
                <w:szCs w:val="20"/>
                <w:color w:val="auto"/>
              </w:rPr>
            </w:pPr>
            <w:r>
              <w:rPr>
                <w:rFonts w:ascii="Calibri" w:cs="Calibri" w:eastAsia="Calibri" w:hAnsi="Calibri"/>
                <w:sz w:val="20"/>
                <w:szCs w:val="20"/>
                <w:b w:val="1"/>
                <w:bCs w:val="1"/>
                <w:color w:val="auto"/>
              </w:rPr>
              <w:t>Net Loss % of Net Revenue</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000"/>
              <w:spacing w:after="0" w:line="234" w:lineRule="exact"/>
              <w:rPr>
                <w:sz w:val="20"/>
                <w:szCs w:val="20"/>
                <w:color w:val="auto"/>
              </w:rPr>
            </w:pPr>
            <w:r>
              <w:rPr>
                <w:rFonts w:ascii="Calibri" w:cs="Calibri" w:eastAsia="Calibri" w:hAnsi="Calibri"/>
                <w:sz w:val="20"/>
                <w:szCs w:val="20"/>
                <w:color w:val="auto"/>
              </w:rPr>
              <w:t>N/A</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000"/>
              <w:spacing w:after="0" w:line="234" w:lineRule="exact"/>
              <w:rPr>
                <w:sz w:val="20"/>
                <w:szCs w:val="20"/>
                <w:color w:val="auto"/>
              </w:rPr>
            </w:pPr>
            <w:r>
              <w:rPr>
                <w:rFonts w:ascii="Calibri" w:cs="Calibri" w:eastAsia="Calibri" w:hAnsi="Calibri"/>
                <w:sz w:val="20"/>
                <w:szCs w:val="20"/>
                <w:color w:val="auto"/>
              </w:rPr>
              <w:t>N/A</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ind w:left="940"/>
              <w:spacing w:after="0" w:line="234" w:lineRule="exact"/>
              <w:rPr>
                <w:sz w:val="20"/>
                <w:szCs w:val="20"/>
                <w:color w:val="auto"/>
              </w:rPr>
            </w:pPr>
            <w:r>
              <w:rPr>
                <w:rFonts w:ascii="Calibri" w:cs="Calibri" w:eastAsia="Calibri" w:hAnsi="Calibri"/>
                <w:sz w:val="20"/>
                <w:szCs w:val="20"/>
                <w:color w:val="auto"/>
              </w:rPr>
              <w:t>N/A</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N/A</w:t>
            </w:r>
          </w:p>
        </w:tc>
      </w:tr>
      <w:tr>
        <w:trPr>
          <w:trHeight w:val="234"/>
        </w:trPr>
        <w:tc>
          <w:tcPr>
            <w:tcW w:w="5020" w:type="dxa"/>
            <w:vAlign w:val="bottom"/>
            <w:gridSpan w:val="2"/>
          </w:tcPr>
          <w:p>
            <w:pPr>
              <w:ind w:left="20"/>
              <w:spacing w:after="0" w:line="234" w:lineRule="exact"/>
              <w:rPr>
                <w:sz w:val="20"/>
                <w:szCs w:val="20"/>
                <w:color w:val="auto"/>
              </w:rPr>
            </w:pPr>
            <w:r>
              <w:rPr>
                <w:rFonts w:ascii="Calibri" w:cs="Calibri" w:eastAsia="Calibri" w:hAnsi="Calibri"/>
                <w:sz w:val="20"/>
                <w:szCs w:val="20"/>
                <w:b w:val="1"/>
                <w:bCs w:val="1"/>
                <w:color w:val="auto"/>
              </w:rPr>
              <w:t>Adjusted EBITDA Margin</w:t>
            </w:r>
          </w:p>
        </w:tc>
        <w:tc>
          <w:tcPr>
            <w:tcW w:w="140" w:type="dxa"/>
            <w:vAlign w:val="bottom"/>
          </w:tcPr>
          <w:p>
            <w:pPr>
              <w:spacing w:after="0"/>
              <w:rPr>
                <w:sz w:val="20"/>
                <w:szCs w:val="20"/>
                <w:color w:val="auto"/>
              </w:rPr>
            </w:pPr>
          </w:p>
        </w:tc>
        <w:tc>
          <w:tcPr>
            <w:tcW w:w="1440" w:type="dxa"/>
            <w:vAlign w:val="bottom"/>
            <w:gridSpan w:val="2"/>
          </w:tcPr>
          <w:p>
            <w:pPr>
              <w:ind w:left="1000"/>
              <w:spacing w:after="0" w:line="234" w:lineRule="exact"/>
              <w:rPr>
                <w:sz w:val="20"/>
                <w:szCs w:val="20"/>
                <w:color w:val="auto"/>
              </w:rPr>
            </w:pPr>
            <w:r>
              <w:rPr>
                <w:rFonts w:ascii="Calibri" w:cs="Calibri" w:eastAsia="Calibri" w:hAnsi="Calibri"/>
                <w:sz w:val="20"/>
                <w:szCs w:val="20"/>
                <w:color w:val="auto"/>
              </w:rPr>
              <w:t>N/A</w:t>
            </w:r>
          </w:p>
        </w:tc>
        <w:tc>
          <w:tcPr>
            <w:tcW w:w="140" w:type="dxa"/>
            <w:vAlign w:val="bottom"/>
          </w:tcPr>
          <w:p>
            <w:pPr>
              <w:spacing w:after="0"/>
              <w:rPr>
                <w:sz w:val="20"/>
                <w:szCs w:val="20"/>
                <w:color w:val="auto"/>
              </w:rPr>
            </w:pPr>
          </w:p>
        </w:tc>
        <w:tc>
          <w:tcPr>
            <w:tcW w:w="1440" w:type="dxa"/>
            <w:vAlign w:val="bottom"/>
            <w:gridSpan w:val="2"/>
          </w:tcPr>
          <w:p>
            <w:pPr>
              <w:ind w:left="1000"/>
              <w:spacing w:after="0" w:line="234" w:lineRule="exact"/>
              <w:rPr>
                <w:sz w:val="20"/>
                <w:szCs w:val="20"/>
                <w:color w:val="auto"/>
              </w:rPr>
            </w:pPr>
            <w:r>
              <w:rPr>
                <w:rFonts w:ascii="Calibri" w:cs="Calibri" w:eastAsia="Calibri" w:hAnsi="Calibri"/>
                <w:sz w:val="20"/>
                <w:szCs w:val="20"/>
                <w:color w:val="auto"/>
              </w:rPr>
              <w:t>N/A</w:t>
            </w:r>
          </w:p>
        </w:tc>
        <w:tc>
          <w:tcPr>
            <w:tcW w:w="200" w:type="dxa"/>
            <w:vAlign w:val="bottom"/>
          </w:tcPr>
          <w:p>
            <w:pPr>
              <w:spacing w:after="0"/>
              <w:rPr>
                <w:sz w:val="20"/>
                <w:szCs w:val="20"/>
                <w:color w:val="auto"/>
              </w:rPr>
            </w:pPr>
          </w:p>
        </w:tc>
        <w:tc>
          <w:tcPr>
            <w:tcW w:w="1380" w:type="dxa"/>
            <w:vAlign w:val="bottom"/>
            <w:gridSpan w:val="2"/>
          </w:tcPr>
          <w:p>
            <w:pPr>
              <w:ind w:left="940"/>
              <w:spacing w:after="0" w:line="234" w:lineRule="exact"/>
              <w:rPr>
                <w:sz w:val="20"/>
                <w:szCs w:val="20"/>
                <w:color w:val="auto"/>
              </w:rPr>
            </w:pPr>
            <w:r>
              <w:rPr>
                <w:rFonts w:ascii="Calibri" w:cs="Calibri" w:eastAsia="Calibri" w:hAnsi="Calibri"/>
                <w:sz w:val="20"/>
                <w:szCs w:val="20"/>
                <w:color w:val="auto"/>
              </w:rPr>
              <w:t>N/A</w:t>
            </w:r>
          </w:p>
        </w:tc>
        <w:tc>
          <w:tcPr>
            <w:tcW w:w="200" w:type="dxa"/>
            <w:vAlign w:val="bottom"/>
          </w:tcPr>
          <w:p>
            <w:pPr>
              <w:spacing w:after="0"/>
              <w:rPr>
                <w:sz w:val="20"/>
                <w:szCs w:val="20"/>
                <w:color w:val="auto"/>
              </w:rPr>
            </w:pPr>
          </w:p>
        </w:tc>
        <w:tc>
          <w:tcPr>
            <w:tcW w:w="1280" w:type="dxa"/>
            <w:vAlign w:val="bottom"/>
          </w:tcPr>
          <w:p>
            <w:pPr>
              <w:jc w:val="right"/>
              <w:spacing w:after="0" w:line="234" w:lineRule="exact"/>
              <w:rPr>
                <w:sz w:val="20"/>
                <w:szCs w:val="20"/>
                <w:color w:val="auto"/>
              </w:rPr>
            </w:pPr>
            <w:r>
              <w:rPr>
                <w:rFonts w:ascii="Calibri" w:cs="Calibri" w:eastAsia="Calibri" w:hAnsi="Calibri"/>
                <w:sz w:val="20"/>
                <w:szCs w:val="20"/>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13</w:t>
      </w:r>
    </w:p>
    <w:sectPr>
      <w:pgSz w:w="11900" w:h="16838" w:orient="portrait"/>
      <w:cols w:equalWidth="0" w:num="1">
        <w:col w:w="11240"/>
      </w:cols>
      <w:pgMar w:left="320" w:top="9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2024-08-27T16:36:13Z</dcterms:created>
  <dcterms:modified xsi:type="dcterms:W3CDTF">2024-08-27T16:36:13Z</dcterms:modified>
</cp:coreProperties>
</file>