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 6-K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REPORT OF FOREIGN PRIVATE ISSUER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13a-16 or 15d-16</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UNDER THE SECURITIES EXCHANGE ACT OF 1934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Month of: December 2025</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001-40207</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Waldencast plc</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81 Fulham Road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London, SW3 6RD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lineRule="auto" w:line="268" w:before="0" w:after="0"/>
        <w:jc w:val="center"/>
        <w:rPr>
          <w:color w:val="000000"/>
        </w:rPr>
      </w:pPr>
      <w:r>
        <w:rPr>
          <w:color w:val="000000"/>
        </w:rPr>
        <w:t xml:space="preserve">☒ </w:t>
      </w:r>
      <w:r>
        <w:rPr>
          <w:rFonts w:ascii="Times New Roman;serif" w:hAnsi="Times New Roman;serif"/>
          <w:b w:val="false"/>
          <w:color w:val="000000"/>
          <w:sz w:val="20"/>
        </w:rPr>
        <w:t>Form 20-F ☐ Form 40-F</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Information in this Report</w:t>
      </w:r>
    </w:p>
    <w:p>
      <w:pPr>
        <w:pStyle w:val="TextBody"/>
        <w:bidi w:val="0"/>
        <w:spacing w:lineRule="auto" w:line="268" w:before="0" w:after="240"/>
        <w:jc w:val="both"/>
        <w:rPr/>
      </w:pPr>
      <w:r>
        <w:rPr>
          <w:rFonts w:ascii="Times New Roman;serif" w:hAnsi="Times New Roman;serif"/>
          <w:b w:val="false"/>
          <w:color w:val="000000"/>
          <w:sz w:val="20"/>
        </w:rPr>
        <w:t>The information in this Report on Form 6-K shall not be deemed “filed” for purposes of Section 18 of the Securities Exchange Act of 1934, as amended (the “</w:t>
      </w:r>
      <w:r>
        <w:rPr>
          <w:rFonts w:ascii="Times New Roman;serif" w:hAnsi="Times New Roman;serif"/>
          <w:b w:val="false"/>
          <w:color w:val="000000"/>
          <w:sz w:val="20"/>
          <w:u w:val="single"/>
        </w:rPr>
        <w:t>Exchange Act</w:t>
      </w:r>
      <w:r>
        <w:rPr>
          <w:color w:val="000000"/>
        </w:rPr>
        <w:t>”</w:t>
      </w:r>
      <w:r>
        <w:rPr>
          <w:rFonts w:ascii="Times New Roman;serif" w:hAnsi="Times New Roman;serif"/>
          <w:b w:val="false"/>
          <w:color w:val="000000"/>
          <w:sz w:val="20"/>
        </w:rPr>
        <w: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lineRule="auto" w:line="268" w:before="240" w:after="240"/>
        <w:jc w:val="center"/>
        <w:rPr>
          <w:rFonts w:ascii="Times New Roman;serif" w:hAnsi="Times New Roman;serif"/>
          <w:b/>
          <w:color w:val="000000"/>
          <w:sz w:val="20"/>
        </w:rPr>
      </w:pPr>
      <w:r>
        <w:rPr>
          <w:rFonts w:ascii="Times New Roman;serif" w:hAnsi="Times New Roman;serif"/>
          <w:b/>
          <w:color w:val="000000"/>
          <w:sz w:val="20"/>
        </w:rPr>
        <w:t>Waldencast plc Announces Annual General Meeting</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Annual General Meeting</w:t>
      </w:r>
    </w:p>
    <w:p>
      <w:pPr>
        <w:pStyle w:val="TextBody"/>
        <w:bidi w:val="0"/>
        <w:spacing w:lineRule="auto" w:line="288" w:before="240" w:after="240"/>
        <w:jc w:val="both"/>
        <w:rPr/>
      </w:pPr>
      <w:r>
        <w:rPr>
          <w:rFonts w:ascii="Times New Roman;serif" w:hAnsi="Times New Roman;serif"/>
          <w:b w:val="false"/>
          <w:color w:val="000000"/>
          <w:sz w:val="20"/>
        </w:rPr>
        <w:t>London, December 19, 2025 – Waldencast plc (NASDAQ: WALD) (“</w:t>
      </w:r>
      <w:r>
        <w:rPr>
          <w:rFonts w:ascii="Times New Roman;serif" w:hAnsi="Times New Roman;serif"/>
          <w:b w:val="false"/>
          <w:color w:val="000000"/>
          <w:sz w:val="20"/>
          <w:u w:val="single"/>
        </w:rPr>
        <w:t>Waldencast</w:t>
      </w:r>
      <w:r>
        <w:rPr>
          <w:color w:val="000000"/>
        </w:rPr>
        <w:t xml:space="preserve">” </w:t>
      </w:r>
      <w:r>
        <w:rPr>
          <w:rFonts w:ascii="Times New Roman;serif" w:hAnsi="Times New Roman;serif"/>
          <w:b w:val="false"/>
          <w:color w:val="000000"/>
          <w:sz w:val="20"/>
        </w:rPr>
        <w:t>or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will hold its 2025 annual meeting of shareholders (the “</w:t>
      </w:r>
      <w:r>
        <w:rPr>
          <w:rFonts w:ascii="Times New Roman;serif" w:hAnsi="Times New Roman;serif"/>
          <w:b w:val="false"/>
          <w:color w:val="000000"/>
          <w:sz w:val="20"/>
          <w:u w:val="single"/>
        </w:rPr>
        <w:t>Annual General Meeting</w:t>
      </w:r>
      <w:r>
        <w:rPr>
          <w:color w:val="000000"/>
        </w:rPr>
        <w:t>”</w:t>
      </w:r>
      <w:r>
        <w:rPr>
          <w:rFonts w:ascii="Times New Roman;serif" w:hAnsi="Times New Roman;serif"/>
          <w:b w:val="false"/>
          <w:color w:val="000000"/>
          <w:sz w:val="20"/>
        </w:rPr>
        <w:t>) on 14 January 2026 at Michelin House, 81 Fulham Road, London, United Kingdom, SW3 6RD, at 5.00 p.m. GMT</w:t>
      </w:r>
    </w:p>
    <w:p>
      <w:pPr>
        <w:pStyle w:val="TextBody"/>
        <w:bidi w:val="0"/>
        <w:spacing w:lineRule="auto" w:line="288" w:before="240" w:after="240"/>
        <w:jc w:val="both"/>
        <w:rPr/>
      </w:pPr>
      <w:r>
        <w:rPr>
          <w:rFonts w:ascii="Times New Roman;serif" w:hAnsi="Times New Roman;serif"/>
          <w:b w:val="false"/>
          <w:color w:val="000000"/>
          <w:sz w:val="20"/>
        </w:rPr>
        <w:t>Only those persons entered on the register of members of the Company as at 9 December 2025 (the “</w:t>
      </w:r>
      <w:r>
        <w:rPr>
          <w:rFonts w:ascii="Times New Roman;serif" w:hAnsi="Times New Roman;serif"/>
          <w:b w:val="false"/>
          <w:color w:val="000000"/>
          <w:sz w:val="20"/>
          <w:u w:val="single"/>
        </w:rPr>
        <w:t>Record Date</w:t>
      </w:r>
      <w:r>
        <w:rPr>
          <w:color w:val="000000"/>
        </w:rPr>
        <w:t>”</w:t>
      </w:r>
      <w:r>
        <w:rPr>
          <w:rFonts w:ascii="Times New Roman;serif" w:hAnsi="Times New Roman;serif"/>
          <w:b w:val="false"/>
          <w:color w:val="000000"/>
          <w:sz w:val="20"/>
        </w:rPr>
        <w:t>) shall be entitled to attend or vote at the Annual General Meeting in respect of the number of shares registered in their name at that time. At the close of business on the Record Date, the Company had outstanding 118,021,230 Class A ordinary shares of a par value of US$0.0001 and 10,019,983 Class B Ordinary shares of a par value of US$0.0001.</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Materials made available in connection with the Annual General Meeting are available on the Company’s website at https://ir.waldencast.com/news-events/annual-meeting.</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Board Appointments</w:t>
      </w:r>
    </w:p>
    <w:p>
      <w:pPr>
        <w:pStyle w:val="TextBody"/>
        <w:bidi w:val="0"/>
        <w:spacing w:lineRule="auto" w:line="288" w:before="240" w:after="240"/>
        <w:jc w:val="both"/>
        <w:rPr/>
      </w:pPr>
      <w:r>
        <w:rPr>
          <w:rFonts w:ascii="Times New Roman;serif" w:hAnsi="Times New Roman;serif"/>
          <w:b w:val="false"/>
          <w:color w:val="000000"/>
          <w:sz w:val="20"/>
        </w:rPr>
        <w:t>Lindsay Pattison and Zack Werner have informed the Board of Directors of the Company (the “</w:t>
      </w:r>
      <w:r>
        <w:rPr>
          <w:rFonts w:ascii="Times New Roman;serif" w:hAnsi="Times New Roman;serif"/>
          <w:b w:val="false"/>
          <w:color w:val="000000"/>
          <w:sz w:val="20"/>
          <w:u w:val="single"/>
        </w:rPr>
        <w:t>Board</w:t>
      </w:r>
      <w:r>
        <w:rPr>
          <w:color w:val="000000"/>
        </w:rPr>
        <w:t>”</w:t>
      </w:r>
      <w:r>
        <w:rPr>
          <w:rFonts w:ascii="Times New Roman;serif" w:hAnsi="Times New Roman;serif"/>
          <w:b w:val="false"/>
          <w:color w:val="000000"/>
          <w:sz w:val="20"/>
        </w:rPr>
        <w:t>) of their intention to resign as directors to pursue other personal and professional goals ahead of the Annual General Meeting during which the Company’s shareholders will be asked to vote on the renewal of Class III directors. Considering these resignations and upcoming Class III Directors re-appointments, the Board has resolved on 2 December 2025 to approve the reclassification of the Directors, as follows: Class I directors are Kelly Brookie, Roberto Thompson and Aaron Chatterley; Class II directors are Hind Sebti, Juliette Hickman and Cristiano Souza, and Class III directors are Michel Brousset, Felipe Dutra, and Simon Dai. To the extent all of the Class III re-appointments are made, the Board will consist of 9 members, each of whom possesses significant expertise, particularly in the beauty, financial and consumer products sectors.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Company extends its sincere thanks to Ms. Pattison and Mr. Werner for their dedicated service since 2021 and valuable contributions during their tenure.</w:t>
      </w:r>
    </w:p>
    <w:p>
      <w:pPr>
        <w:pStyle w:val="TextBody"/>
        <w:bidi w:val="0"/>
        <w:spacing w:before="24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tbl>
      <w:tblPr>
        <w:tblW w:w="7966" w:type="dxa"/>
        <w:jc w:val="left"/>
        <w:tblInd w:w="0" w:type="dxa"/>
        <w:tblLayout w:type="fixed"/>
        <w:tblCellMar>
          <w:top w:w="28" w:type="dxa"/>
          <w:left w:w="28" w:type="dxa"/>
          <w:bottom w:w="28" w:type="dxa"/>
          <w:right w:w="28" w:type="dxa"/>
        </w:tblCellMar>
      </w:tblPr>
      <w:tblGrid>
        <w:gridCol w:w="786"/>
        <w:gridCol w:w="692"/>
        <w:gridCol w:w="696"/>
        <w:gridCol w:w="134"/>
        <w:gridCol w:w="134"/>
        <w:gridCol w:w="136"/>
        <w:gridCol w:w="281"/>
        <w:gridCol w:w="281"/>
        <w:gridCol w:w="281"/>
        <w:gridCol w:w="1317"/>
        <w:gridCol w:w="1317"/>
        <w:gridCol w:w="1911"/>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Waldencast plc</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December 19, 2025</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88"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Manuel Manfredi</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4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Manuel Manfredi</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454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 and 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544</Words>
  <Characters>2911</Characters>
  <CharactersWithSpaces>3417</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