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0" w:name="tm2627325d1_posam.htm"/>
      <w:bookmarkStart w:id="1" w:name="kstm2627325d1_posam"/>
      <w:bookmarkEnd w:id="0"/>
      <w:bookmarkEnd w:id="1"/>
      <w:r>
        <w:rPr>
          <w:rFonts w:ascii="Times New Roman;Times;Serif" w:hAnsi="Times New Roman;Times;Serif"/>
          <w:b w:val="false"/>
          <w:i w:val="false"/>
          <w:caps w:val="false"/>
          <w:smallCaps w:val="false"/>
          <w:sz w:val="20"/>
        </w:rPr>
        <w:t>As filed with the Securities and Exchange Commission on October 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333-267053</w:t>
      </w:r>
    </w:p>
    <w:p>
      <w:pPr>
        <w:pStyle w:val="TextBody"/>
        <w:bidi w:val="0"/>
        <w:spacing w:before="240" w:after="60"/>
        <w:ind w:left="0" w:right="0" w:hanging="0"/>
        <w:jc w:val="left"/>
        <w:rPr>
          <w:bdr w:val="single" w:sz="16" w:space="1" w:color="000000"/>
        </w:rPr>
      </w:pPr>
      <w:r>
        <w:rPr>
          <w:bdr w:val="single" w:sz="16"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6" w:space="0" w:color="000000"/>
        </w:pBdr>
        <w:bidi w:val="0"/>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POST-EFFECTIVE AMENDMENT NO. 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F-1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333-267053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6" w:space="0" w:color="000000"/>
        </w:pBdr>
        <w:bidi w:val="0"/>
        <w:jc w:val="left"/>
        <w:rPr/>
      </w:pPr>
      <w:r>
        <w:rPr/>
      </w:r>
    </w:p>
    <w:p>
      <w:pPr>
        <w:pStyle w:val="TextBody"/>
        <w:bidi w:val="0"/>
        <w:spacing w:before="0" w:after="0"/>
        <w:ind w:left="0" w:right="0" w:hanging="0"/>
        <w:jc w:val="left"/>
        <w:rPr>
          <w:caps w:val="false"/>
          <w:smallCaps w:val="false"/>
        </w:rPr>
      </w:pPr>
      <w:r>
        <w:rPr>
          <w:caps w:val="false"/>
          <w:smallCaps w:val="false"/>
        </w:rPr>
        <w:t> </w:t>
      </w:r>
    </w:p>
    <w:tbl>
      <w:tblPr>
        <w:tblW w:w="9439" w:type="dxa"/>
        <w:jc w:val="left"/>
        <w:tblInd w:w="0" w:type="dxa"/>
        <w:tblLayout w:type="fixed"/>
        <w:tblCellMar>
          <w:top w:w="0" w:type="dxa"/>
          <w:left w:w="0" w:type="dxa"/>
          <w:bottom w:w="28" w:type="dxa"/>
          <w:right w:w="0" w:type="dxa"/>
        </w:tblCellMar>
      </w:tblPr>
      <w:tblGrid>
        <w:gridCol w:w="5909"/>
        <w:gridCol w:w="3530"/>
      </w:tblGrid>
      <w:tr>
        <w:trPr/>
        <w:tc>
          <w:tcPr>
            <w:tcW w:w="9439" w:type="dxa"/>
            <w:gridSpan w:val="2"/>
            <w:tcBorders>
              <w:bottom w:val="single" w:sz="8" w:space="0" w:color="000000"/>
            </w:tcBorders>
            <w:vAlign w:val="center"/>
          </w:tcPr>
          <w:p>
            <w:pPr>
              <w:pStyle w:val="TableContents"/>
              <w:bidi w:val="0"/>
              <w:spacing w:before="0" w:after="283"/>
              <w:jc w:val="center"/>
              <w:rPr>
                <w:b/>
                <w:sz w:val="48"/>
              </w:rPr>
            </w:pPr>
            <w:r>
              <w:rPr>
                <w:b/>
                <w:sz w:val="48"/>
              </w:rPr>
              <w:t>Waldencast plc</w:t>
            </w:r>
          </w:p>
        </w:tc>
      </w:tr>
      <w:tr>
        <w:trPr/>
        <w:tc>
          <w:tcPr>
            <w:tcW w:w="9439" w:type="dxa"/>
            <w:gridSpan w:val="2"/>
            <w:tcBorders/>
            <w:tcMar>
              <w:bottom w:w="0" w:type="dxa"/>
            </w:tcMar>
            <w:vAlign w:val="center"/>
          </w:tcPr>
          <w:p>
            <w:pPr>
              <w:pStyle w:val="TableContents"/>
              <w:bidi w:val="0"/>
              <w:spacing w:before="0" w:after="283"/>
              <w:jc w:val="center"/>
              <w:rPr>
                <w:sz w:val="20"/>
              </w:rPr>
            </w:pPr>
            <w:r>
              <w:rPr>
                <w:sz w:val="20"/>
              </w:rPr>
              <w:t>(Exact name of registrant as specified in its charter)</w:t>
            </w:r>
          </w:p>
        </w:tc>
      </w:tr>
      <w:tr>
        <w:trPr/>
        <w:tc>
          <w:tcPr>
            <w:tcW w:w="9439" w:type="dxa"/>
            <w:gridSpan w:val="2"/>
            <w:tcBorders/>
            <w:tcMar>
              <w:bottom w:w="0" w:type="dxa"/>
            </w:tcMar>
            <w:vAlign w:val="center"/>
          </w:tcPr>
          <w:p>
            <w:pPr>
              <w:pStyle w:val="TableContents"/>
              <w:bidi w:val="0"/>
              <w:spacing w:before="0" w:after="283"/>
              <w:jc w:val="left"/>
              <w:rPr/>
            </w:pPr>
            <w:r>
              <w:rPr/>
              <w:t> </w:t>
            </w:r>
          </w:p>
        </w:tc>
      </w:tr>
      <w:tr>
        <w:trPr/>
        <w:tc>
          <w:tcPr>
            <w:tcW w:w="5909" w:type="dxa"/>
            <w:tcBorders>
              <w:bottom w:val="single" w:sz="8" w:space="0" w:color="000000"/>
            </w:tcBorders>
            <w:vAlign w:val="center"/>
          </w:tcPr>
          <w:p>
            <w:pPr>
              <w:pStyle w:val="TableContents"/>
              <w:bidi w:val="0"/>
              <w:spacing w:before="0" w:after="283"/>
              <w:jc w:val="center"/>
              <w:rPr>
                <w:b/>
                <w:sz w:val="20"/>
              </w:rPr>
            </w:pPr>
            <w:r>
              <w:rPr>
                <w:b/>
                <w:sz w:val="20"/>
              </w:rPr>
              <w:t>Jersey</w:t>
            </w:r>
          </w:p>
        </w:tc>
        <w:tc>
          <w:tcPr>
            <w:tcW w:w="3530" w:type="dxa"/>
            <w:tcBorders>
              <w:bottom w:val="single" w:sz="8" w:space="0" w:color="000000"/>
            </w:tcBorders>
            <w:vAlign w:val="center"/>
          </w:tcPr>
          <w:p>
            <w:pPr>
              <w:pStyle w:val="TableContents"/>
              <w:bidi w:val="0"/>
              <w:spacing w:before="0" w:after="283"/>
              <w:jc w:val="center"/>
              <w:rPr>
                <w:b/>
                <w:sz w:val="20"/>
              </w:rPr>
            </w:pPr>
            <w:r>
              <w:rPr>
                <w:b/>
                <w:sz w:val="20"/>
              </w:rPr>
              <w:t>Not Applicable</w:t>
            </w:r>
          </w:p>
        </w:tc>
      </w:tr>
      <w:tr>
        <w:trPr/>
        <w:tc>
          <w:tcPr>
            <w:tcW w:w="5909" w:type="dxa"/>
            <w:tcBorders/>
            <w:tcMar>
              <w:bottom w:w="0" w:type="dxa"/>
            </w:tcMar>
            <w:vAlign w:val="center"/>
          </w:tcPr>
          <w:p>
            <w:pPr>
              <w:pStyle w:val="TableContents"/>
              <w:bidi w:val="0"/>
              <w:spacing w:before="0" w:after="283"/>
              <w:jc w:val="center"/>
              <w:rPr>
                <w:sz w:val="20"/>
              </w:rPr>
            </w:pPr>
            <w:r>
              <w:rPr>
                <w:sz w:val="20"/>
              </w:rPr>
              <w:t>(State or other jurisdiction of incorporation or organization)</w:t>
            </w:r>
          </w:p>
        </w:tc>
        <w:tc>
          <w:tcPr>
            <w:tcW w:w="3530" w:type="dxa"/>
            <w:tcBorders/>
            <w:tcMar>
              <w:bottom w:w="0" w:type="dxa"/>
            </w:tcMar>
            <w:vAlign w:val="center"/>
          </w:tcPr>
          <w:p>
            <w:pPr>
              <w:pStyle w:val="TableContents"/>
              <w:bidi w:val="0"/>
              <w:spacing w:before="0" w:after="283"/>
              <w:jc w:val="center"/>
              <w:rPr>
                <w:sz w:val="20"/>
              </w:rPr>
            </w:pPr>
            <w:r>
              <w:rPr>
                <w:sz w:val="20"/>
              </w:rPr>
              <w:t>(I.R.S. Employer Identification No.)</w:t>
            </w:r>
          </w:p>
        </w:tc>
      </w:tr>
      <w:tr>
        <w:trPr/>
        <w:tc>
          <w:tcPr>
            <w:tcW w:w="5909" w:type="dxa"/>
            <w:tcBorders/>
            <w:tcMar>
              <w:bottom w:w="0" w:type="dxa"/>
            </w:tcMar>
            <w:vAlign w:val="center"/>
          </w:tcPr>
          <w:p>
            <w:pPr>
              <w:pStyle w:val="TableContents"/>
              <w:bidi w:val="0"/>
              <w:spacing w:before="0" w:after="283"/>
              <w:jc w:val="left"/>
              <w:rPr/>
            </w:pPr>
            <w:r>
              <w:rPr/>
              <w:t> </w:t>
            </w:r>
          </w:p>
        </w:tc>
        <w:tc>
          <w:tcPr>
            <w:tcW w:w="3530" w:type="dxa"/>
            <w:tcBorders/>
            <w:tcMar>
              <w:bottom w:w="0" w:type="dxa"/>
            </w:tcMar>
            <w:vAlign w:val="center"/>
          </w:tcPr>
          <w:p>
            <w:pPr>
              <w:pStyle w:val="TableContents"/>
              <w:bidi w:val="0"/>
              <w:spacing w:before="0" w:after="283"/>
              <w:jc w:val="left"/>
              <w:rPr/>
            </w:pPr>
            <w:r>
              <w:rPr/>
              <w:t> </w:t>
            </w:r>
          </w:p>
        </w:tc>
      </w:tr>
      <w:tr>
        <w:trPr/>
        <w:tc>
          <w:tcPr>
            <w:tcW w:w="943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 Fulham Road, London, SW3 6RD, United Kingdom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 (0) 20 3196 0264</w:t>
            </w:r>
          </w:p>
        </w:tc>
      </w:tr>
      <w:tr>
        <w:trPr/>
        <w:tc>
          <w:tcPr>
            <w:tcW w:w="9439" w:type="dxa"/>
            <w:gridSpan w:val="2"/>
            <w:tcBorders/>
            <w:tcMar>
              <w:bottom w:w="0" w:type="dxa"/>
            </w:tcMar>
            <w:vAlign w:val="center"/>
          </w:tcPr>
          <w:p>
            <w:pPr>
              <w:pStyle w:val="TableContents"/>
              <w:bidi w:val="0"/>
              <w:spacing w:before="0" w:after="283"/>
              <w:jc w:val="center"/>
              <w:rPr>
                <w:sz w:val="20"/>
              </w:rPr>
            </w:pPr>
            <w:r>
              <w:rPr>
                <w:sz w:val="20"/>
              </w:rPr>
              <w:t>(Address, including zip code, and telephone number, including area code, of registrant’s principal executive offices)</w:t>
            </w:r>
          </w:p>
        </w:tc>
      </w:tr>
      <w:tr>
        <w:trPr/>
        <w:tc>
          <w:tcPr>
            <w:tcW w:w="9439" w:type="dxa"/>
            <w:gridSpan w:val="2"/>
            <w:tcBorders/>
            <w:tcMar>
              <w:bottom w:w="0" w:type="dxa"/>
            </w:tcMar>
            <w:vAlign w:val="center"/>
          </w:tcPr>
          <w:p>
            <w:pPr>
              <w:pStyle w:val="TableContents"/>
              <w:bidi w:val="0"/>
              <w:spacing w:before="0" w:after="283"/>
              <w:jc w:val="left"/>
              <w:rPr/>
            </w:pPr>
            <w:r>
              <w:rPr/>
              <w:t> </w:t>
            </w:r>
          </w:p>
        </w:tc>
      </w:tr>
      <w:tr>
        <w:trPr/>
        <w:tc>
          <w:tcPr>
            <w:tcW w:w="943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Felipe Dutra</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Chairman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 Waldencast plc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 Fulham Road, London, SW3 6RD, United Kingdom</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+44 (0) 20 3196 0264</w:t>
            </w:r>
          </w:p>
        </w:tc>
      </w:tr>
      <w:tr>
        <w:trPr/>
        <w:tc>
          <w:tcPr>
            <w:tcW w:w="9439" w:type="dxa"/>
            <w:gridSpan w:val="2"/>
            <w:tcBorders/>
            <w:tcMar>
              <w:bottom w:w="0" w:type="dxa"/>
            </w:tcMar>
            <w:vAlign w:val="center"/>
          </w:tcPr>
          <w:p>
            <w:pPr>
              <w:pStyle w:val="TableContents"/>
              <w:bidi w:val="0"/>
              <w:spacing w:before="0" w:after="283"/>
              <w:jc w:val="center"/>
              <w:rPr>
                <w:sz w:val="20"/>
              </w:rPr>
            </w:pPr>
            <w:r>
              <w:rPr>
                <w:b/>
                <w:sz w:val="20"/>
              </w:rPr>
              <w:t>(</w:t>
            </w:r>
            <w:r>
              <w:rPr>
                <w:sz w:val="20"/>
              </w:rPr>
              <w:t>Name, address, including zip code, and telephone number, including area code, of agent for service)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With a copy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Paul T. Schnell,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Gregg A. Noel,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 O. Mayer-Cesiano,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Michael J. Schwartz,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Skadden, Arps, Slate, Meagher &amp; Flom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Manhattan West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New York 10001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735-3000</w:t>
      </w:r>
    </w:p>
    <w:p>
      <w:pPr>
        <w:pStyle w:val="TextBody"/>
        <w:bidi w:val="0"/>
        <w:spacing w:before="0" w:after="0"/>
        <w:ind w:left="0" w:right="0" w:hanging="0"/>
        <w:jc w:val="center"/>
        <w:rPr>
          <w:caps w:val="false"/>
          <w:smallCaps w:val="false"/>
        </w:rPr>
      </w:pPr>
      <w:r>
        <w:rPr>
          <w:caps w:val="false"/>
          <w:smallCaps w:val="false"/>
        </w:rPr>
        <w:t> </w:t>
      </w:r>
    </w:p>
    <w:p>
      <w:pPr>
        <w:pStyle w:val="HorizontalLine"/>
        <w:pBdr>
          <w:bottom w:val="single" w:sz="6" w:space="0" w:color="000000"/>
        </w:pBdr>
        <w:bidi w:val="0"/>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Approximate date of commencement of proposed sale to the public: </w:t>
      </w:r>
      <w:r>
        <w:rPr>
          <w:rFonts w:ascii="Times New Roman;Times;Serif" w:hAnsi="Times New Roman;Times;Serif"/>
          <w:b/>
          <w:i w:val="false"/>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only securities being registered on this Form are being offered pursuant to dividend or interest reinvestment plans, please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registration statement pursuant to General Instruction I.D. or a post-effective amendment thereto that shall become effective upon filing with the Commission pursuant to Rule 462(e) under the Securities Act, check the following box.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to a registration statement filed pursuant to General Instruction I.D. filed to register additional securities or additional classes of securities pursuant to Rule 413(b) under the Securities Act, check the following box.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5445" w:type="dxa"/>
        <w:jc w:val="left"/>
        <w:tblInd w:w="0" w:type="dxa"/>
        <w:tblLayout w:type="fixed"/>
        <w:tblCellMar>
          <w:top w:w="0" w:type="dxa"/>
          <w:left w:w="0" w:type="dxa"/>
          <w:bottom w:w="0" w:type="dxa"/>
          <w:right w:w="0" w:type="dxa"/>
        </w:tblCellMar>
      </w:tblPr>
      <w:tblGrid>
        <w:gridCol w:w="75"/>
        <w:gridCol w:w="2390"/>
        <w:gridCol w:w="60"/>
        <w:gridCol w:w="2615"/>
        <w:gridCol w:w="230"/>
        <w:gridCol w:w="75"/>
      </w:tblGrid>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Large accelerated filer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right"/>
              <w:rPr/>
            </w:pPr>
            <w:r>
              <w:rPr/>
              <w:t>Accelerated filer</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Non-accelerated filer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right"/>
              <w:rPr/>
            </w:pPr>
            <w:r>
              <w:rPr/>
              <w:t>Smaller reporting company</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283"/>
              <w:jc w:val="right"/>
              <w:rPr/>
            </w:pPr>
            <w:r>
              <w:rPr/>
              <w:t>Emerging growth company</w:t>
            </w:r>
          </w:p>
        </w:tc>
        <w:tc>
          <w:tcPr>
            <w:tcW w:w="23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DEREGISTRATION OF UNSOLD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Waldencast plc., a Jersey public limited company (the “Company”), is filing this Post-Effective Amendment No. 1 (the “Amendment”) to the Registration Statement on Form F-1 (No. 333-267053) (the “Registration Statement”), previously filed with the Securities and Exchange Commission (the “SEC”) to terminate all offerings and deregister: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283"/>
              <w:jc w:val="left"/>
              <w:rPr/>
            </w:pPr>
            <w:r>
              <w:rPr/>
              <w:t>any and all securities, registered but unsold or otherwise unissued as of the date hereof under the Registration Statement, filed with the SEC on August 24, 2022, amended by Pre-Effective Amendment No. 1 filed with the SEC on September 26, 2022, and declared effective, as amended, on October 13, 2022, registering (A) the issuance by the Company of up to 29,533,282 Class A ordinary shares, par value $0.0001 (“Class A ordinary shares”), consisting of: (i) Class A ordinary shares issuable upon the exercise of the private placement warrants (as defined in the Prospectus) and (ii) Class A ordinary shares issuable upon the exercise of the public warrants (as defined in the Prospectus); and (B) the resale from time to time by certain of the selling holders named in the prospectus (the “Prospectus”) that forms part of the Registration Statement and their pledgees, donees, transferees, assignees and successors (the “Selling Holders”) of (1) up to 121,120,063 Class A ordinary shares, consisting of (i) 8,545,000 Class A ordinary shares converted from the founder shares (as defined in the Prospectus) held in the aggregate by Burwell Mountain PTC LLC, as trustee of Burwell Mountain Trust (collectively, “Burwell”), Dynamo Master Fund and Waldencast Ventures LP (each, a member of the Waldencast Long-Term Capital LLC, a Cayman Islands limited liability company (the “Sponsor”)), originally issued in a private placement to the Sponsor, for approximately $0.0035 per share, prior to the Company’s initial public offering (as defined in the Prospectus); (ii) 80,000 Class A ordinary shares converted from the founder shares held by the Investor Directors (as defined in the Prospectus), issued in a private placement to the Investor Directors, for approximately $0.0035 per share, prior to the Company’s initial public offering; (iii) 20,000 Class A ordinary shares issued to Aaron Chatterley, one of the Company’s independent directors, in a private placement exempt from registration pursuant to Section 4(a)(2) of the Securities Act, and Rule 506 of Regulation D promulgated thereunder, in connection with the consummation of the Business Combination (as defined in the Prospectus), for no consideration; (iv) 28,237,506 Class A ordinary shares issued in connection with the Business Combination as the equity portion of the merger consideration pursuant to the Obagi Merger Agreement (as defined in the Prospectus) at an acquiror share value of $10.00 per share; (v) 21,104,225 Class A ordinary shares issuable in exchange for 21,104,225 Waldencast LP Common Units (as defined in the Prospectus) (and the redemption by Waldencast of an equivalent number of Class B ordinary shares, par value $0.0001 per share (“Class B ordinary shares”) held by such holder for no additional consideration) issued in connection with the Business Combination as the equity portion of the transaction consideration pursuant to the Milk Equity Purchase Agreement (as defined in the Prospectus) at a common unit value of $10.00 per unit; (vi) 11,800,000 Class A ordinary shares issued in the PIPE Investments (as defined in the Prospectus) pursuant to the Subscription Agreements (as defined in the Prospectus), at a purchase price of $10.00 per share at the closing of the Business Combination; (vii) 33,300,000 Class A ordinary shares issued pursuant the Forward Purchase Agreements (as defined in the Prospectus), which Forward Purchase Securities (as defined in the Prospectus) were issued at a purchase price of $10.00 per Forward Purchase Security at the closing of the Business Combination; and (viii) 18,033,332 Class A ordinary shares issuable upon the exercise of the private placement warrants and (2) up to 18,033,332 private placement warrants, which private placement warrants were issued in a private placement at the time of the Company’s initial public offering, at a purchase price of $1.50 per private placement warrant.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4, 2026, the Company’s securities were voluntarily delisted from the Nasdaq Stock Market LLC (“Nasdaq”). Following the delisting from Nasdaq, the Company intends to deregister and terminate its reporting obligations under the Securities and Exchange Act of 1934, as amended (the “Exchange Act”). In connection with the delisting, the Company has terminated all offerings of securities pursuant to the Registration Statement. In accordance with the undertaking made by the Company in Part II of the Registration Statement to remove from registration, by means of a post-effective amendment, any of the securities that had been registered which remain unsold at the termination of the offering, the Company hereby removes from registration any and all securities registered but unsold or otherwise unissued under the Registration Statement as of the date hereof. After giving effect to this Amendment, there will be no remaining securities registered by the Company pursuant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as amended, the Company certifies that it has reasonable grounds to believe that it meets all of the requirements for filing on Form F-1 and has duly caused this Post-Effective Amendment No. 1 to the Registration Statement on Form F-1 to be signed on its behalf by the undersigned, thereunto duly authorized, in the City of White Plains, State of New York, on October 9, 2026:</w:t>
      </w:r>
    </w:p>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75"/>
        <w:gridCol w:w="365"/>
        <w:gridCol w:w="1490"/>
      </w:tblGrid>
      <w:tr>
        <w:trPr/>
        <w:tc>
          <w:tcPr>
            <w:tcW w:w="75" w:type="dxa"/>
            <w:tcBorders/>
            <w:vAlign w:val="center"/>
          </w:tcPr>
          <w:p>
            <w:pPr>
              <w:pStyle w:val="TableContents"/>
              <w:bidi w:val="0"/>
              <w:spacing w:before="0" w:after="283"/>
              <w:jc w:val="left"/>
              <w:rPr/>
            </w:pPr>
            <w:r>
              <w:rPr/>
              <w:t> </w:t>
            </w:r>
          </w:p>
        </w:tc>
        <w:tc>
          <w:tcPr>
            <w:tcW w:w="1855" w:type="dxa"/>
            <w:gridSpan w:val="2"/>
            <w:tcBorders/>
            <w:vAlign w:val="center"/>
          </w:tcPr>
          <w:p>
            <w:pPr>
              <w:pStyle w:val="TableContents"/>
              <w:bidi w:val="0"/>
              <w:spacing w:before="0" w:after="283"/>
              <w:jc w:val="left"/>
              <w:rPr>
                <w:b/>
              </w:rPr>
            </w:pPr>
            <w:r>
              <w:rPr>
                <w:b/>
              </w:rPr>
              <w:t>Waldencast plc</w:t>
            </w:r>
          </w:p>
        </w:tc>
      </w:tr>
      <w:tr>
        <w:trPr/>
        <w:tc>
          <w:tcPr>
            <w:tcW w:w="75" w:type="dxa"/>
            <w:tcBorders/>
            <w:vAlign w:val="center"/>
          </w:tcPr>
          <w:p>
            <w:pPr>
              <w:pStyle w:val="TableContents"/>
              <w:bidi w:val="0"/>
              <w:spacing w:before="0" w:after="283"/>
              <w:jc w:val="left"/>
              <w:rPr/>
            </w:pPr>
            <w:r>
              <w:rPr/>
              <w:t> </w:t>
            </w:r>
          </w:p>
        </w:tc>
        <w:tc>
          <w:tcPr>
            <w:tcW w:w="185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1490" w:type="dxa"/>
            <w:tcBorders>
              <w:bottom w:val="single" w:sz="8" w:space="0" w:color="000000"/>
            </w:tcBorders>
            <w:tcMar>
              <w:bottom w:w="28" w:type="dxa"/>
            </w:tcMar>
            <w:vAlign w:val="center"/>
          </w:tcPr>
          <w:p>
            <w:pPr>
              <w:pStyle w:val="TableContents"/>
              <w:bidi w:val="0"/>
              <w:spacing w:before="0" w:after="283"/>
              <w:jc w:val="left"/>
              <w:rPr/>
            </w:pPr>
            <w:r>
              <w:rPr/>
              <w:t>/s/ Felipe Dutra</w:t>
            </w:r>
          </w:p>
        </w:tc>
      </w:tr>
    </w:tbl>
    <w:tbl>
      <w:tblPr>
        <w:tblW w:w="8425" w:type="dxa"/>
        <w:jc w:val="left"/>
        <w:tblInd w:w="0" w:type="dxa"/>
        <w:tblLayout w:type="fixed"/>
        <w:tblCellMar>
          <w:top w:w="0" w:type="dxa"/>
          <w:left w:w="0" w:type="dxa"/>
          <w:bottom w:w="0" w:type="dxa"/>
          <w:right w:w="0" w:type="dxa"/>
        </w:tblCellMar>
      </w:tblPr>
      <w:tblGrid>
        <w:gridCol w:w="75"/>
        <w:gridCol w:w="60"/>
        <w:gridCol w:w="650"/>
        <w:gridCol w:w="7640"/>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7640" w:type="dxa"/>
            <w:tcBorders/>
            <w:vAlign w:val="center"/>
          </w:tcPr>
          <w:p>
            <w:pPr>
              <w:pStyle w:val="TableContents"/>
              <w:bidi w:val="0"/>
              <w:spacing w:before="0" w:after="283"/>
              <w:jc w:val="left"/>
              <w:rPr/>
            </w:pPr>
            <w:r>
              <w:rPr/>
              <w:t>Felipe Dutra</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7640" w:type="dxa"/>
            <w:tcBorders/>
            <w:vAlign w:val="center"/>
          </w:tcPr>
          <w:p>
            <w:pPr>
              <w:pStyle w:val="TableContents"/>
              <w:bidi w:val="0"/>
              <w:spacing w:before="0" w:after="283"/>
              <w:jc w:val="left"/>
              <w:rPr/>
            </w:pPr>
            <w:r>
              <w:rPr/>
              <w:t>Executive Chairman, Principal Executive Officer and 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other person is required to sign this Post-Effective Amendment in reliance upon Rule 478 under the Securities Act of 1933.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1454</Words>
  <Characters>8007</Characters>
  <CharactersWithSpaces>9468</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