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August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in this Report</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on Form 6-K (“Report”)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240" w:after="200"/>
        <w:jc w:val="center"/>
        <w:rPr>
          <w:rFonts w:ascii="Times New Roman;serif" w:hAnsi="Times New Roman;serif"/>
          <w:b/>
          <w:color w:val="000000"/>
          <w:sz w:val="20"/>
        </w:rPr>
      </w:pPr>
      <w:r>
        <w:rPr>
          <w:rFonts w:ascii="Times New Roman;serif" w:hAnsi="Times New Roman;serif"/>
          <w:b/>
          <w:color w:val="000000"/>
          <w:sz w:val="20"/>
        </w:rPr>
        <w:t>Annual Meeting of Shareholders Results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held its annual general meeting of shareholders (the “Annual General Meeting”). The proposals submitted to a shareholder vote at the Annual General Meeting are described in detail in the Notice for the Annual General Meeting sent to the Company's shareholders (the "Notice") and made available on the Company’s website at https://ir.waldencast.com/news-events/annual-meeting. Shareholders present in person or by proxy represented 93,755,873 ordinary shares of the Company (or 72.90% of the outstanding ordinary shares of the Company as of 26 June 2026, the record date for the Annual General Meeting).</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General Meeting, shareholders re-appointed three (3) of the Company’s directors specifically named in the Proxy Statement. Class I Directors were re-appointed to serve until the general meeting to be held in 2029.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financial year audited accounts and auditor’s report in respect of the year ended 31 December 2025 were laid before the Annual General Meeting. In connection to that, shareholders ratified at the Annual General Meeting the selection of Deloitte &amp; Touche LLP as the Company’s independent registered public accounting firm until the conclusion of the next annual general meeting, or until otherwise decided by the Company’s Audit and Governance Committee (“Audit Committee”), and the Audit Committee will determine the remuneration of the auditors.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shareholders also approved the Company’s repurchase of its own shares, both on-market and off-market, for a five-year period.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detailed voting results for each proposal are set forth below.</w:t>
      </w:r>
    </w:p>
    <w:p>
      <w:pPr>
        <w:pStyle w:val="TextBody"/>
        <w:bidi w:val="0"/>
        <w:spacing w:lineRule="auto" w:line="288" w:before="240" w:after="240"/>
        <w:jc w:val="both"/>
        <w:rPr/>
      </w:pPr>
      <w:r>
        <w:rPr>
          <w:rFonts w:ascii="Times New Roman;serif" w:hAnsi="Times New Roman;serif"/>
          <w:b/>
          <w:color w:val="000000"/>
          <w:sz w:val="20"/>
        </w:rPr>
        <w:t xml:space="preserve">Resolutions 1-3 – Re-appointment of directors: </w:t>
      </w:r>
      <w:r>
        <w:rPr>
          <w:rFonts w:ascii="Times New Roman;serif" w:hAnsi="Times New Roman;serif"/>
          <w:b w:val="false"/>
          <w:color w:val="000000"/>
          <w:sz w:val="20"/>
        </w:rPr>
        <w:t>The Company’s shareholders approved the re-appointment of three (3) of the Company’s directors specifically named in the Proxy Statement. The Class I Directors were re-appointed to serve until the general meeting to be held in 2029. The final voting results with respect to the re-election of directors were as follows:</w:t>
      </w:r>
    </w:p>
    <w:tbl>
      <w:tblPr>
        <w:tblW w:w="4458" w:type="dxa"/>
        <w:jc w:val="left"/>
        <w:tblInd w:w="0" w:type="dxa"/>
        <w:tblLayout w:type="fixed"/>
        <w:tblCellMar>
          <w:top w:w="28" w:type="dxa"/>
          <w:left w:w="28" w:type="dxa"/>
          <w:bottom w:w="28" w:type="dxa"/>
          <w:right w:w="28" w:type="dxa"/>
        </w:tblCellMar>
      </w:tblPr>
      <w:tblGrid>
        <w:gridCol w:w="613"/>
        <w:gridCol w:w="539"/>
        <w:gridCol w:w="543"/>
        <w:gridCol w:w="344"/>
        <w:gridCol w:w="344"/>
        <w:gridCol w:w="348"/>
        <w:gridCol w:w="309"/>
        <w:gridCol w:w="309"/>
        <w:gridCol w:w="313"/>
        <w:gridCol w:w="233"/>
        <w:gridCol w:w="233"/>
        <w:gridCol w:w="330"/>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Nominee</w:t>
            </w:r>
          </w:p>
        </w:tc>
        <w:tc>
          <w:tcPr>
            <w:tcW w:w="103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9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695" w:type="dxa"/>
            <w:gridSpan w:val="3"/>
            <w:tcBorders>
              <w:top w:val="single" w:sz="8" w:space="0" w:color="FFFFFF"/>
              <w:left w:val="single" w:sz="8" w:space="0" w:color="FFFFFF"/>
            </w:tcBorders>
            <w:shd w:fill="CCCCCC"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Kelly Brookie</w:t>
            </w:r>
          </w:p>
        </w:tc>
        <w:tc>
          <w:tcPr>
            <w:tcW w:w="1036" w:type="dxa"/>
            <w:gridSpan w:val="3"/>
            <w:tcBorders>
              <w:top w:val="single" w:sz="8" w:space="0" w:color="FFFFFF"/>
              <w:left w:val="single" w:sz="8" w:space="0" w:color="FFFFFF"/>
            </w:tcBorders>
            <w:shd w:fill="CCCCCC"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89,730,056</w:t>
            </w:r>
          </w:p>
        </w:tc>
        <w:tc>
          <w:tcPr>
            <w:tcW w:w="931" w:type="dxa"/>
            <w:gridSpan w:val="3"/>
            <w:tcBorders>
              <w:top w:val="single" w:sz="8" w:space="0" w:color="FFFFFF"/>
              <w:left w:val="single" w:sz="8" w:space="0" w:color="FFFFFF"/>
            </w:tcBorders>
            <w:shd w:fill="CCCCCC"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4,025,810</w:t>
            </w:r>
          </w:p>
        </w:tc>
        <w:tc>
          <w:tcPr>
            <w:tcW w:w="796" w:type="dxa"/>
            <w:gridSpan w:val="3"/>
            <w:tcBorders>
              <w:top w:val="single" w:sz="8" w:space="0" w:color="FFFFFF"/>
              <w:left w:val="single" w:sz="8" w:space="0" w:color="FFFFFF"/>
              <w:right w:val="single" w:sz="8" w:space="0" w:color="FFFFFF"/>
            </w:tcBorders>
            <w:shd w:fill="CCCCCC"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69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Roberto Thompson</w:t>
            </w:r>
          </w:p>
        </w:tc>
        <w:tc>
          <w:tcPr>
            <w:tcW w:w="103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89,051,803</w:t>
            </w:r>
          </w:p>
        </w:tc>
        <w:tc>
          <w:tcPr>
            <w:tcW w:w="9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4,704,066</w:t>
            </w:r>
          </w:p>
        </w:tc>
        <w:tc>
          <w:tcPr>
            <w:tcW w:w="79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695"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Aaron Chatterley</w:t>
            </w:r>
          </w:p>
        </w:tc>
        <w:tc>
          <w:tcPr>
            <w:tcW w:w="1036"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88,233,631</w:t>
            </w:r>
          </w:p>
        </w:tc>
        <w:tc>
          <w:tcPr>
            <w:tcW w:w="93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5,522,237</w:t>
            </w:r>
          </w:p>
        </w:tc>
        <w:tc>
          <w:tcPr>
            <w:tcW w:w="796" w:type="dxa"/>
            <w:gridSpan w:val="3"/>
            <w:tcBorders>
              <w:top w:val="single" w:sz="8" w:space="0" w:color="FFFFFF"/>
              <w:left w:val="single" w:sz="8" w:space="0" w:color="FFFFFF"/>
              <w:bottom w:val="single" w:sz="8" w:space="0" w:color="FFFFFF"/>
              <w:right w:val="single" w:sz="8" w:space="0" w:color="FFFFFF"/>
            </w:tcBorders>
            <w:shd w:fill="CCCCCC"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240" w:after="240"/>
        <w:jc w:val="both"/>
        <w:rPr/>
      </w:pPr>
      <w:r>
        <w:rPr>
          <w:rFonts w:ascii="Times New Roman;serif" w:hAnsi="Times New Roman;serif"/>
          <w:b/>
          <w:color w:val="000000"/>
          <w:sz w:val="20"/>
        </w:rPr>
        <w:t>Resolution 4 - Re-appointment of auditor and its remuneration:</w:t>
      </w:r>
      <w:r>
        <w:rPr>
          <w:color w:val="000000"/>
        </w:rPr>
        <w:t xml:space="preserve"> </w:t>
      </w:r>
      <w:r>
        <w:rPr>
          <w:rFonts w:ascii="Times New Roman;serif" w:hAnsi="Times New Roman;serif"/>
          <w:b w:val="false"/>
          <w:color w:val="000000"/>
          <w:sz w:val="20"/>
        </w:rPr>
        <w:t>The Company’s shareholders ratified the selection of Deloitte &amp; Touche LLP as the Company’s independent registered public accounting firm until the conclusion of the next annual general meeting, or until otherwise decided by the Company’s Audit and Governance Committee, as follows:</w:t>
      </w:r>
    </w:p>
    <w:tbl>
      <w:tblPr>
        <w:tblW w:w="2778"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9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90,301,398</w:t>
            </w:r>
          </w:p>
        </w:tc>
        <w:tc>
          <w:tcPr>
            <w:tcW w:w="93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3,454,470</w:t>
            </w:r>
          </w:p>
        </w:tc>
        <w:tc>
          <w:tcPr>
            <w:tcW w:w="796" w:type="dxa"/>
            <w:gridSpan w:val="3"/>
            <w:tcBorders>
              <w:top w:val="single" w:sz="8" w:space="0" w:color="FFFFFF"/>
              <w:left w:val="single" w:sz="8" w:space="0" w:color="FFFFFF"/>
              <w:bottom w:val="single" w:sz="8" w:space="0" w:color="FFFFFF"/>
              <w:right w:val="single" w:sz="8" w:space="0" w:color="FFFFFF"/>
            </w:tcBorders>
            <w:shd w:fill="CCCCCC"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0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color w:val="000000"/>
          <w:sz w:val="20"/>
        </w:rPr>
        <w:t>Resolution 5 - Repurchase of Shares:</w:t>
      </w:r>
      <w:r>
        <w:rPr>
          <w:color w:val="000000"/>
        </w:rPr>
        <w:t xml:space="preserve"> </w:t>
      </w:r>
      <w:r>
        <w:rPr>
          <w:rFonts w:ascii="Times New Roman;serif" w:hAnsi="Times New Roman;serif"/>
          <w:b w:val="false"/>
          <w:color w:val="000000"/>
          <w:sz w:val="20"/>
        </w:rPr>
        <w:t>the Company’s shareholders authorized, in the terms detailed in the Notice, the Company to make purchases of its class a ordinary shares and class b ordinary shares under any contract approved in advance of any purchase by the directors of the Company for a period of 5 years, and any shares that are purchased may be held as treasury shares should the directors of the Company so decide, as follows:</w:t>
      </w:r>
    </w:p>
    <w:tbl>
      <w:tblPr>
        <w:tblW w:w="2778"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9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88,836,493</w:t>
            </w:r>
          </w:p>
        </w:tc>
        <w:tc>
          <w:tcPr>
            <w:tcW w:w="93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4,919,374</w:t>
            </w:r>
          </w:p>
        </w:tc>
        <w:tc>
          <w:tcPr>
            <w:tcW w:w="796" w:type="dxa"/>
            <w:gridSpan w:val="3"/>
            <w:tcBorders>
              <w:top w:val="single" w:sz="8" w:space="0" w:color="FFFFFF"/>
              <w:left w:val="single" w:sz="8" w:space="0" w:color="FFFFFF"/>
              <w:bottom w:val="single" w:sz="8" w:space="0" w:color="FFFFFF"/>
              <w:right w:val="single" w:sz="8" w:space="0" w:color="FFFFFF"/>
            </w:tcBorders>
            <w:shd w:fill="CCCCCC"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lineRule="auto" w:line="288" w:before="240" w:after="240"/>
        <w:jc w:val="both"/>
        <w:rPr/>
      </w:pPr>
      <w:r>
        <w:rPr>
          <w:rFonts w:ascii="Times New Roman;serif" w:hAnsi="Times New Roman;serif"/>
          <w:b/>
          <w:color w:val="000000"/>
          <w:sz w:val="20"/>
        </w:rPr>
        <w:t>Resolution 6 - Repurchase of Shares:</w:t>
      </w:r>
      <w:r>
        <w:rPr>
          <w:color w:val="000000"/>
        </w:rPr>
        <w:t xml:space="preserve"> </w:t>
      </w:r>
      <w:r>
        <w:rPr>
          <w:rFonts w:ascii="Times New Roman;serif" w:hAnsi="Times New Roman;serif"/>
          <w:b w:val="false"/>
          <w:color w:val="000000"/>
          <w:sz w:val="20"/>
        </w:rPr>
        <w:t>the Company’s shareholders authorized, in the terms detailed in the Notice, the Company to make one or more purchases of its class a ordinary shares on a securities exchange for a period of 5 years, and any shares that are purchased may be held as treasury shares should the directors of the Company so decide, as follows:</w:t>
      </w:r>
    </w:p>
    <w:tbl>
      <w:tblPr>
        <w:tblW w:w="2778"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9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88,836,593</w:t>
            </w:r>
          </w:p>
        </w:tc>
        <w:tc>
          <w:tcPr>
            <w:tcW w:w="931" w:type="dxa"/>
            <w:gridSpan w:val="3"/>
            <w:tcBorders>
              <w:top w:val="single" w:sz="8" w:space="0" w:color="FFFFFF"/>
              <w:left w:val="single" w:sz="8" w:space="0" w:color="FFFFFF"/>
              <w:bottom w:val="single" w:sz="8" w:space="0" w:color="FFFFFF"/>
            </w:tcBorders>
            <w:shd w:fill="CCCCCC"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4,919,274</w:t>
            </w:r>
          </w:p>
        </w:tc>
        <w:tc>
          <w:tcPr>
            <w:tcW w:w="796" w:type="dxa"/>
            <w:gridSpan w:val="3"/>
            <w:tcBorders>
              <w:top w:val="single" w:sz="8" w:space="0" w:color="FFFFFF"/>
              <w:left w:val="single" w:sz="8" w:space="0" w:color="FFFFFF"/>
              <w:bottom w:val="single" w:sz="8" w:space="0" w:color="FFFFFF"/>
              <w:right w:val="single" w:sz="8" w:space="0" w:color="FFFFFF"/>
            </w:tcBorders>
            <w:shd w:fill="CCCCCC"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7500"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216"/>
        <w:gridCol w:w="216"/>
        <w:gridCol w:w="216"/>
        <w:gridCol w:w="1335"/>
        <w:gridCol w:w="1335"/>
        <w:gridCol w:w="19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2"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Felipe Dutra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Felipe Dutra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60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750</Words>
  <Characters>4049</Characters>
  <CharactersWithSpaces>4725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